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pašvaldības izstrādā atbalsta pasākumus darba devēju darbinieku vajadzībās balstītu atbalsta pasākumu ieviešanai, Viedās administrācijas un reģionālās attīstības ministrija atbildīga par šajā instrukcijā minēto nosacījumu izpildi un paredz to uzraudzību iekšējā kārtībā, izņemot pašvaldību darbinieku mācības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atkārtoti aicina svītrot punktu, ņemot vērā to, ka VARAM nav esošu vai plānotu atbalsta pasākumu šīs instrukcijas izpratnē. Lūdzam nosacījumu izpildi pašvaldībās organizēt esošo uzņēmējdarbības atbalsta mehānismu ietvaros, neradot papildus centralizētu administratīvo slogu. VARAM norāda, ka ministrija nav nosakāma kā atbildīgā institūcija par pasākumiem, kuru patiesais īstenotājs varētu būt pašvaldības. Pašvaldības autonomās funkcijas pilda atbilstoši ārējiem normatīvajiem aktiem un noslēgtajiem publisko tiesību līgumiem. Attiecīgi šādos gadījumos kā atbildīgā institūcija iespējami būtu nosakāma par nozares politiku kompetentā iestāde, šajā gadījumā – Ekonomikas ministrija. Sniedzot šo komentāru, VARAM ņem vērā Ekonomikas ministrijas telefoniskās saziņas ietvaros sniegto informāciju par punkta svītrošanu.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Mudīte Kiseļova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29.10.2024.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29.10.2024.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