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izvērtēta par vardarbību sodītas personas atbilstība darbam, brīvprātīgajam darbam vai pakalpojuma sniegšanai bērnu iestādēs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atļaujas piešķiršanu, par atļaujas piešķiršanu, nosakot ierobežojumus strādāt ar atsevišķām bērnu mērķgrupām, atteikumu piešķirt atļauju vai izdotās atļaujas atcelšanu pieņem inspekcijas izveidota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akta atcelšanas kārtību noteic Administratīvā procesa likuma (turpmāk – APL) 83., 85. un 86. pants. Ievērojot minēto, kā arī to, ka Bērnu tiesību aizsardzības likuma 72. panta piektās daļas 1. punkts neparedz pilnvarojumu Ministru kabinetam noteikt kārtību, kādā atceļ atļauju šā likuma 72. panta piektās daļas 1. punktā minētajām personām strādāt, veikt brīvprātīgo darbu un saskaņā ar noslēgto vienošanos sniegt pakalpojumus nekaitē bērnu interesēm (turpmāk – atļauja), lūdzam svītrot projekta 3. punktā vārdus "vai izdotās atļaujas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Konstatējot, ka persona nav iesniegusi šo noteikumu 8.1.1. vai 8.1.2. apakšpunktā norādītos dokumentus vai arī šo noteikumu 8.1.3. apakšpunktā norādīto informāciju, ja persona ir nodarbināta vai brīvprātīgā darba veicējs, komisijas priekšsēdētājs pieprasa personai iesniegt norādītos dokumentus un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par projekta 10. punktā ietverto regulējumu, kā arī to, ka vispārējos administratīvā akta izdošanas noteikumus regulē APL un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atkārtoti lūdzam svītrot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sekretārs vismaz 10 darbdienas pirms komisijas sēdes elektroniski uz komisijas locekļu elektronisko pastu nosūta komisijas locekļiem informāciju par komisijas sēdi, norādot sēdes datumu, laiku un norises veidu (klātienē, attālināti vai hibrīdi, tas ir, daļa komisijas locekļu piedalās klātienē un daļa - attālināti), komisijas sēdes darba kārtību un izskatāmās lietas materiālus ar paroli aizsargātā failā. Paroli komisijas locekļiem nosūta, izmantojot citu saziņas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ar vārdiem "saziņas veids" pēc būtības saprot veidu, kādā notiek saziņa. Tādējādi no projekta 13. punkta otrā teikuma izriet, ka paroli, kas nepieciešama, lai piekļūtu šī punkta pirmajā teikumā minētajai datnei (turpmāk – datne), nosūta, izmantojot tādu saziņas veidu, kas netika izmantots nosūtot datni. No minētā izriet, ka, ja datne komisijas locekļiem tiek nosūtīta uz komisijas locekļa elektroniskā pasta adresi, tad parole atbilstoši projekta 13. punkta otrajam teikumam nosūtāma, piemēram, pa 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saskaņošanas sanāksmē norādīto, ka normas mērķis ir nodrošināt, ka datne un parole netiek nosūtīta vienā elektroniskā pasta sūtījumā, lūdzam atbilstoši precizēt projekta 13.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sekretārs vismaz 10 darbdienas pirms komisijas sēdes uz komisijas locekļu elektronisko pastu nosūta komisijas locekļiem informāciju par komisijas sēdi, norādot sēdes datumu, laiku un norises veidu (klātienē, attālināti vai hibrīdi, tas ir, daļa komisijas locekļu piedalās klātienē un daļa - attālināti), komisijas sēdes darba kārtību un izskatāmās lietas materiālus ar paroli aizsargātā failā. Paroli komisijas locekļiem nosūta atsevišķā elektroniskā pasta sūtījumā.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Komisijas locekļi, komisijas sekretārs un šo noteikumu 7. punktā minētie iestāžu un organizāciju pārstāvji un eksperti rakstveidā apliecina, ka informācijai par personu ir ierobežotas pieejamības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Informācijas atklātības likuma 5. panta trešajai daļai ierobežotas pieejamības statusu informācijai noteic informācijas autors vai iestādes vadītājs. Tādējādi nav pieļaujams projektā noteikt, ka informācijas ierobežotas pieejamības statusu rakstveidā apliecina komisijas locekļi, komisijas sekretārs un projekta 7. punktā minētie iestāžu un organizāciju pārstāvji un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16. punktu, nosakot, ka komisijas locekļi, komisijas sekretārs un projekta 7. punktā minētie iestāžu un organizāciju pārstāvji un eksperti rakstveidā apliecina, ka </w:t>
            </w:r>
            <w:r w:rsidR="00000000" w:rsidRPr="00000000" w:rsidDel="00000000">
              <w:rPr>
                <w:u w:val="single"/>
                <w:rtl w:val="0"/>
              </w:rPr>
              <w:t xml:space="preserve">ir informēti par to, ka komisijas sēdē izskatāmajai informācijai ir ierobežotas pieejamības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gaitu pilnā apjomā fiksē, izmantojot skaņu ieraksta līdzekļus, par ko izdara atzīmi protokolā. Skaņu ierakstu saglabā līdz komisijas lēmuma vai galīgā tiesas nolēmuma lietā par komisijas lēmuma apstrīdēšanu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administratīvo tiesību terminoloģiju, lūdzam aizstāt projekta 20. punktā vārdu "apstrīdēšanu" ar vārdu "pārsūdzēšanu".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gaitu pilnā apjomā fiksē, izmantojot skaņu ieraksta līdzekļus, par ko izdara atzīmi protokolā. Skaņu ierakstu saglabā līdz komisijas lēmuma vai galīgā tiesas nolēmuma lietā par komisijas lēmuma apstrīdēšanu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komisijas lēmums stāsies spēkā ar brīdi, kad tas būs paziņots adresātam (sk. APL 70. panta pirmo daļu). APL 79. 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Tādējādi pēc tam, kad komisijas lēmums būs stājies spēkā, personai vēl vienu mēnesi (vai vienu gadu) būs tiesības to apstrīdēt. Vienlaikus projekta 20. punkta otrais teikums noteic, ka skaņu ierakstu saglabā līdz komisijas lēmuma </w:t>
            </w:r>
            <w:r w:rsidR="00000000" w:rsidRPr="00000000" w:rsidDel="00000000">
              <w:rPr>
                <w:u w:val="single"/>
                <w:rtl w:val="0"/>
              </w:rPr>
              <w:t xml:space="preserve">vai</w:t>
            </w:r>
            <w:r w:rsidR="00000000" w:rsidRPr="00000000" w:rsidDel="00000000">
              <w:rPr>
                <w:rtl w:val="0"/>
              </w:rPr>
              <w:t xml:space="preserve"> galīgā tiesas nolēmuma lietā par komisijas lēmuma pārsūdzēšanu spēkā stāšanās dienai. Vēršam uzmanību, ka tas, vai persona komisijas lēmumu apstrīdēs, komisijas lēmuma spēkā stāšanās brīdī komisijai vēl nebūs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20. punktā norādīto skaņu ieraksta saglabāšanas termiņu,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Komisija, pamatojoties uz atkārtoto izvērtēšanu, pieņem lēmumu par izdotās atļaujas atcelšanu, ja konstatē, ka, strādājot, veicot brīvprātīgo darbu vai saskaņā ar noslēgto vienošanos sniedzot pakalpojumus, persona kaitē bērnu interesēm vai ir sniegusi nepatiesas ziņas, kas bija par pamatu atļaujas piešķiršanai, vai lēmumu par atļaujas atstāšanu spēkā.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administratīvā akta atcelšanas kārtību noteic APL 83., 85. un 86. pants. Ievērojot, ka atbilstoši Noteikumu Nr. 108 3.2. apakšpunktam normatīvā akta projektā neietver normas, kas dublē augstāka vai tāda paša spēka normatīvā akta tiesību normās ietverto normatīvo regulējumu, lūdzam svītrot projekta 24.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25. punktu un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Komisijas lēmumu paraksta komisijas priekšsēdētājs un paziņo personai Paziņošanas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APL 70. panta otrā daļa jau noteic, ka administratīvo aktu paziņo adresātam atbilstoši Paziņošanas likumam. Ievērojot, ka atbilstoši Noteikumu Nr. 108 3.2. apakšpunktam normatīvā akta projektā neietver normas, kas dublē augstāka vai tāda paša spēka normatīvā akta tiesību normās ietverto normatīvo regulējumu, lūdzam svītrot projekta 26. punktā vārdus "un paziņo personai Paziņošanas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APL neparedz iesnieguma atstāšanu bez virzības, ja iesniegumam nav pievienoti administratīvā akta izdošanai nepieciešamie dokumenti. Proti, APL 56. panta 1.1 daļa noteic, ka iestāde atstāj iesniegumu bez virzības un nosaka iesniedzējam saprātīgu termiņu tās norādīto trūkumu novēršanai </w:t>
            </w:r>
            <w:r w:rsidR="00000000" w:rsidRPr="00000000" w:rsidDel="00000000">
              <w:rPr>
                <w:u w:val="single"/>
                <w:rtl w:val="0"/>
              </w:rPr>
              <w:t xml:space="preserve">tikai tad, ja iesniegums nav parakstīts, ir iesniegts, neievērojot Valsts valodas likuma prasības, vai tam nav pievienoti pilnvarojumu apliecinoši dokumenti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1.3. sadaļas sesto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kārtību, kādā komisijas loceklis, kurš konstatējis, ka tā dalība lēmuma pieņemšanā ir pretrunā ar likumu "Par interešu konflikta novēršanu valsts amatpersonu darbībā" vai ētikas normām, nepiedalās turpmākā jautājuma izskatīšanā un lēmuma pieņemšanā. Ievērojot minēto, lūdzam atbilstoši precizēt projekta anotācijas 1.3. sadaļas 14.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27.10.2023.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27.10.2023.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Atzinumi_21-TA-1498.docx</dc:title>
</cp:coreProperties>
</file>

<file path=docProps/custom.xml><?xml version="1.0" encoding="utf-8"?>
<Properties xmlns="http://schemas.openxmlformats.org/officeDocument/2006/custom-properties" xmlns:vt="http://schemas.openxmlformats.org/officeDocument/2006/docPropsVTypes"/>
</file>