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100.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sagatavotās Noteikumu 100., 100.1 , 100.2 punktu redakcijas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Tāpēc prasības atcelšana licences ar nosacījumu “bezrecepšu zāļu izplatīšanai ar tīmekļa vietnes starpniecību” esamībai, tirgojot zāles tiešsaistes starpniecības platformās, veicinātu konkurenci starp aptiekām un rezultētos patērētājiem izdevīgākā piedāvājumā.  Ja persona pasūta sev nepieciešamos bezrecepšu medikamentus, izmantojot tiešsaistes starpniecības platformu pakalpojumu sniedzēja starpniecību, tad var prezumēt, ka klients to vai citu iemeslu dēļ ir izvēlējies nelietot aptiekas tīmekļa vietni, kurā tiek izplatīti (tirgoti) bezrecepšu medikamenti. Tas, savukārt, padara prasības nodrošināt tiešsaistes starpniecības platformas lietotājam tādas pašas tīmekļa vietnes iespējas kā klientam, kurš ir izlēmis veikt pirkumu jebkuras aptiekas tīmekļa vietnē, par praksē nevajadzīgām un aptieku komercdarbību apgrūtinošām. Gadījumos, ja klientam ir vajadzīga kāda papildus informācija vai komunikācija, kas pārsniedz tiešsaistes starpniecības platformas tvērumu, tad tas būtu aptiekas ziņā, ar  kādiem tehniskajiem līdzekļiem (paņēmieniem) to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