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11.12.2023. elektroniskajā sarakstē panāktajai vienošanai Kultūras ministrija atsauc savu 08.12.2023. izteikto iebildumu, tā vieta izsakot </w:t>
            </w:r>
            <w:r w:rsidR="00000000" w:rsidRPr="00000000" w:rsidDel="00000000">
              <w:rPr>
                <w:b w:val="1"/>
                <w:rtl w:val="0"/>
              </w:rPr>
              <w:t xml:space="preserve">priekšlikumu </w:t>
            </w:r>
            <w:r w:rsidR="00000000" w:rsidRPr="00000000" w:rsidDel="00000000">
              <w:rPr>
                <w:rtl w:val="0"/>
              </w:rPr>
              <w:t xml:space="preserve">šādā redakcijā: Anotācijas apakšsadaļa “Terminu skaidrojums”: “Ar jēdzienu “izglītojamie” šī noteikumu projekta izpratnē tiek saprasti visi skolēni, neatkarīgi no vecuma, kuri apgūst vispārējo izglītību pašvaldības izglītības iestādēs, tai skaitā pirmskolas vecuma bērni, pamatskolas, vidusskolas, vidējās profesionālās izglītības skolēni, kā arī speciālās izglītības un sociālās korekcijas audzēkņi.”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 skaidrojumu anotācijas 1.3.“Pašreizējā situācija, problēmas un risinājumi” apakšsadaļā “Projekta īstenošanas nosacījumi”, izsakot šādā redakcijā: Projekta infrastruktūras investīciju uzraudzības nosacījumi tiks paredzēti PSD metodikā, ko atbildīgā iestāde izstrādās pirms projektu iesniegumu atlases izsludināšanas, lai nodrošinātu, ka projektu iesniedzējiem pirms projektu iesniegumu iesniegšanas būtu pieejama skaidra informācija par to,  kāda darbība var tikt klasificēta kā PSD, un kā tiek veikta tās uzskaite. PSD metodikā paredzēts noteikt, ka, ja vispārējās izglītības iestādē tiek īstenota arī </w:t>
            </w:r>
            <w:r w:rsidR="00000000" w:rsidRPr="00000000" w:rsidDel="00000000">
              <w:rPr>
                <w:b w:val="1"/>
                <w:rtl w:val="0"/>
              </w:rPr>
              <w:t xml:space="preserve">profesionālās ievirzes izglītības programma</w:t>
            </w:r>
            <w:r w:rsidR="00000000" w:rsidRPr="00000000" w:rsidDel="00000000">
              <w:rPr>
                <w:rtl w:val="0"/>
              </w:rPr>
              <w:t xml:space="preserve"> vai interešu izglītība, tad projekta ietvaros iegādāto bezemisiju transportlīdzekli var izmantot, lai nodrošinātu izglītojamo nokļūšanu šajā izglītības iestādē (vai citā pašvaldības organizētās profesionālās ievirzes izglītības programmas vai  interešu izglītības sniegšanas vietā, kas atrodas atsevišķā adresē) un atpakaļ dzīvesvietā, un to uzskaita papildinošas saimnieciskās darbības (PSD) ietvaros, ja izglītojamos nogādā vispārējās izglītības iestādē  (vai citā pašvaldības organizētās profesionālās ievirzes izglītības programmas vai  interešu izglītības sniegšanas vietā, kas atrodas atsevišķā adresē) nodarbībām profesionālās ievirzes izglītības programmā vai interešu izglītībā ar atsevišķu reisu (braucienu).”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skaidrojums izziņā:  “Skaidrojam, ka vispārējās izglītības pakāpes un veidi noteikti Vispārējās izglītības likuma 3.pantā. Lai nodrošinātu iedzīvotājiem vispārējās izglītības iegūšanu, pašvaldība nodrošina izglītības iestāžu sasniedzamību, kas attiecas arī uz pašvaldības dibinātajām pamatizglītības un vidējās izglītības iestādēm ar sporta, mūzikas, mākslas vai citu novirzienu, kur mācības tiek īstenotas atbilstoši pamatizglītības un vidējās izglītības akreditētajai izglītības programmai. Ja vispārējās izglītības iestādē tiek īstenota arī profesionālās ievirzes izglītības programma vai interešu izglītība, tad projekta ietvaros iegādāto bezemisiju transportlīdzekli var izmantot, lai nodrošinātu izglītojamo nokļūšanu šajā vispārējās izglītības iestādē (vai citā pašvaldības organizētās profesionālās ievirzes izglītības programmas vai  interešu izglītības sniegšanas vietā, kas atrodas atsevišķā adresē) un atpakaļ dzīvesvietā, un to uzskaita papildinošas saimnieciskās darbības (PSD) ietvaros, ja izglītojamos nogādā vispārējās izglītības iestādē  (vai citā pašvaldības organizētās profesionālās ievirzes izglītības programmas vai  interešu izglītības sniegšanas vietā, kas atrodas atsevišķā adresē) nodarbībām profesionālās ievirzes izglītības programmā vai interešu izglītībā ar atsevišķu reisu (braucienu). VARAM izstrādās PSD metodiku pirms projektu iesniegumu atlases izsludināšanas, lai nodrošinātu, ka projektu iesniedzējiem pirms projektu iesniegumu iesniegšanas būtu pieejama skaidra informācija par to,  kāda darbība var tikt klasificēta kā PSD, un kā tiek veikta tās uzskaite.”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12.12.2023.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12.12.2023.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Atzinumi_23-TA-1763.docx</dc:title>
</cp:coreProperties>
</file>

<file path=docProps/custom.xml><?xml version="1.0" encoding="utf-8"?>
<Properties xmlns="http://schemas.openxmlformats.org/officeDocument/2006/custom-properties" xmlns:vt="http://schemas.openxmlformats.org/officeDocument/2006/docPropsVTypes"/>
</file>