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un enerģētikas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11.punktā tiek norādīts, ka FM iebildums ir ņemts vērā, taču anotācijas 1.3. sadaļā joprojām tiek norādīts, ka, tiek virzīts likumprojekts “Grozījumi Latvijas vides aizsardzības fonda likumā” (24-TA-788) un tā ietvaros tiek paredzēts, ka ir divi Latvijas vides aizsardzības fonda līdzekļu turētāji - VARAM un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iebilst, ka Latvijas vides aizsardzības fondam tiek noteikti divi līdzekļu turētāji, ievērojot  Ministru kabineta 04.06.2024. sēdē lemto (prot. Nr.23 58. § 4.punkts), ka VARAM jāizstrādā grozījumi Latvijas vides aizsardzības fonda likumā, nosakot vienu Latvijas vides aizsardzības fonda līdzekļu turētāju, kā arī, ievērojot paredzamo darbu pie publiskā sektora procesu un izdevumu efektivizācijas, FM uzskata, ka būtu jāveic pasākumi Latvijas vides aizsardzības fonda administratīvā resursa samazināšanai. Attiecīgi lūdzam precizēt anotācijas 1.3.sadaļā sniegto informāciju par likumprojektu “Grozījumi Latvijas vides aizsardzības fonda likumā” (24-TA-788).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un enerģētikas ministrijas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20.punktā norādīts, ka FM priekšlikums ir ņemts vērā un noteikumu projekts ir papildināts ar 5.12 .apakšpunktu, taču, izskatot precizēto noteikumu projektu, šāds punkts noteikumos nav iekļauts,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veikt valsts budžeta programmas "Latvijas vides aizsardzības fonds" vides aizsardzības pasākumu un projektu administrēšanas funkcijas ministrijas kompetences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4.5.apakšpunktā norādīto atsauci uz valsts budžeta programmu, ņemot vērā, ka KEM ir valsts budžeta programma ar nosaukumu “Vides aizsardzības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12.03.2025.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12.03.2025.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Atzinumi_24-TA-1568.docx</dc:title>
</cp:coreProperties>
</file>

<file path=docProps/custom.xml><?xml version="1.0" encoding="utf-8"?>
<Properties xmlns="http://schemas.openxmlformats.org/officeDocument/2006/custom-properties" xmlns:vt="http://schemas.openxmlformats.org/officeDocument/2006/docPropsVTypes"/>
</file>