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Īstenojot projektus, finansējuma saņēmējs nodrošina informācijas un publicitātes pasākumus saskaņā ar Regulas Nr. 2021/1060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punktā noteiktie publicitātes pasākumi, iespējams, dublē noteikumu projekta 22. punktā ietverto regulējumu. Pamatojoties uz iepriekš minēto, lūdzam izvērtēt, vai noteikumu projekta 33. punkts ir izteikts atbilstoši Ministru kabineta 2009. gada 3. februāra noteikumu Nr. 108 „Normatīvo aktu projektu sagatavošanas noteikumi” 3.2. un 3.3. apakšpunktam un neatbilstības gadījumā izdarīt attiecīgus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23.11.2023.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23.11.2023.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Atzinumi_23-TA-1081.docx</dc:title>
</cp:coreProperties>
</file>

<file path=docProps/custom.xml><?xml version="1.0" encoding="utf-8"?>
<Properties xmlns="http://schemas.openxmlformats.org/officeDocument/2006/custom-properties" xmlns:vt="http://schemas.openxmlformats.org/officeDocument/2006/docPropsVTypes"/>
</file>