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līdzfinansējums patvertņu iekārtošanai nav iespējams ierobežotu finanašu līdzekļu dēl,tas attiecas arī   nekustamā īpašuma nodokļa atvieglojumu noteikšanu un pašvaldību tiesībām  izdot   saistošos noteikumos par nekustamā īpašuma nodokļa atvieglojumiem. Tiesības pašvaldībām paredzēt  līdzfinansējums patvertnes vai vietas, kur var patverties, atjaunošanai vai izveidošanai var paredzēt kā brīvprātīgu nevis obligātu normu , jo netiek pašlaik  noteikti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aktivitātes patvertņu iekārtošanai ir iespējams tikai tad, ja  tiks atrasts risinājums ES kohēzijas politikas programmas 2021.–2027. gadam 2.1.3.  specifiskā atbalsta mērķī “Veicināt pielāgošanos klimata pārmaiņām, risku novēršanu un noturību pret katastrofām” vai 5.1.1.  specifiskā atbalsta mērķī “Vietējās teritorijas integrētās sociālās, ekonomiskās un vides attīstības un kultūras mantojuma, tūrisma un drošības veicināšana pilsētu funkcionālajās teritorijās” ietvaros,  paredzot investīcijai ES kohēzijas politikas programmas 2021.–2027.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26.04.2024.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26.04.2024.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