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2005. gada 30. augusta noteikumos Nr. 664 "Sabiedrisko pakalpojumu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tehniskais nodrošinājums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2.1.apakšpunktā aizstāt vārdus “aukstumapgādes pārvades” ar vārdiem “aukstumenerģijas pārvades”.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saskaņota terminoloģija ar Enerģētikas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2.2.apakšpunktā papildināt iekavās aiz vārda “.dwg” ar vārdiem “vai pielīdzināmā”.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administratīvā sloga un izmaksu mazināšana. “.dwg” formāts ir AutoCAD programmas fails, kas ir maksas projektēšanas programma. Maziem komersantiem šādas programmas nav un, lai sagatavotu nepieciešamo informāciju, jāizmanto ārpakalpojums, kas rada papildus izmaksas. Licencēšanai nepieciešamo vizuālo informāciju pietiekošā apmērā var sagatavot arī ar citām pielīdzināmām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Reinholds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05.01.2026.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05.01.2026.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Atzinumi_25-TA-2422.docx</dc:title>
</cp:coreProperties>
</file>

<file path=docProps/custom.xml><?xml version="1.0" encoding="utf-8"?>
<Properties xmlns="http://schemas.openxmlformats.org/officeDocument/2006/custom-properties" xmlns:vt="http://schemas.openxmlformats.org/officeDocument/2006/docPropsVTypes"/>
</file>