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datu apstrādes mākoņa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datu apstrādes mākoņa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bibliotēkas kā valsts datu apstrādes mākoni veidojošā mākoņdatošanas platformas pārziņa ieskatā veidojas sadrumstalots un pretrunīgs regulējums starp Ministru kabineta noteikumu projektu "Valsts datu apstrādes mākoņa noteikumi" (24-TA-1050) un Ministru kabineta noteikumu projektu "Informācijas sistēmu izvietošanas un datu centru drošības prasības" (24-TA-3243). Lai novērstu pretrunas starp minētajiem tiesību aktiem un nodrošinātu vienotu, savstarpēji integrētu un papildinošu regulējumu, aicinām organizēt klātienes sanāksmi ar Aizsardzības ministrijas, Viedās administrācijas un reģionālās attīstības ministrijas, Satversmes aizsardzības biroja un valsts datu apstrādes mākoni veidojošo mākoņdatošanas platformas pārziņu pārstāvjiem.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mākoņdatošanas pakalpojums – valsts mākoņdatošanas platformas pārziņa vai privātpersonas, kas sniedz mākoņdatošanas pakalpojumus, nodrošināta fiziski vai loģiski nodalīta, izkliedēta un mērogojama skaitļošanas, tīkla un glabāšanas resursu vide, kas atbilstoši esošajām tehniskajām iespējām nodrošina šādus pakalpojumus - infrastruktūra kā pakalpojums, platforma kā pakalpojums, lietotne kā pakalpojums, kā arī specializētie un individuāli izstrādātie pakalpojumi;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privātpersona vēlas sniegt mākoņdatošanas pakalpojumus publiskai personai, privātpersonai šie pakalpojumi ir jāreģistrē Valsts informācijas resursu, sistēmu un sadarbspējas informācijas sistēmā, lai šie pakalpojumi būtu vienoti pārvaldāmi, salīdzināmi starp valsts datu apstrādes mākoni veidojošo mākoņdatošanas platformu pārziņiem un privātpersonu nodrošinātajiem neatkarīgi no tā, kur viņi ir izvietoti.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mākoņdatošanas platformas pārzinim ir šādi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veido nevienlīdzīgu attieksmi starp valsts datu apstrādes mākoni veidojošajiem mākoņdatošanas platformas pārziņiem un privātpersonām, kuras nodrošina mākoņdatošanas pakalpojumus, un uzliek nesamērīgu slogu valsts datu apstrādes mākoņdatošanas platformas pārziņiem ar informācijas ievadi VIRSIS. Atbalstām Iekšlietu ministrijas Informācijas centra iebildumu, kas izteikts 27.05.2025. atzinumā, par noteikumu projekta 6.10.2.apakšpunktu.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nepiekrītam Viedās administrācijas un reģionālās attīstības ministrijas viedoklim, ka noteikumu projekts neregulē attiecības ar privātpersonām, kuras nodrošina mākoņdatošanas pakalpojumus, jo noteikumu projektā daudzkārt ir ietverta atsauce uz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mākoņdatošanas pakalpojuma nodrošinošās komponentes tiek finansētas Eiropas Savienības politiku instrumentu un pārējās ārvalstu finanšu palīdzības līdzfinansējuma ietvaros, valsts mākoņdatošanas platformas pārzinis, nosakot mākoņdatošanas pakalpojumu maksu, neiekļauj mākoņdatošanas pakalpojumu maksas aprēķinā izmaksas, kas ir finansētas ar Eiropas Savienības politiku instrumentu un pārējās ārvalstu finanšu palīdzības līdzfinansējumu.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mākoņdatošanas platforma infrastruktūras līmenī ir vienota, tad tehniski nav iespējams nodalīt, vai informācijas sistēma vai tās komponentes atrodas uz tādiem skaitļošanas, datu glabāšanas vai tīkla resursiem, kuri ir finansēti vai nav no Eiropas Savienības politiku instrumentu, pārējās ārvalstu finanšu palīdzības vai valsts budžeta līdzfinansējuma. Līdz ar to mākoņdatošanas platformas pārzinis var samazināt mākoņdatošanas platformas lietotāja kopējo vai atsevišķu pakalpojumu maksas apmēru par līdzfinansējuma daļu no ārvalstu finansiālās palīdzības līdzekļiem vai valsts budžeta līdzfinansējuma, kas ar Ministru kabineta lēmumu ir piešķirti konkrētam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mākoņdatošanas platformas pārzinim ir pienākums samazināt mākoņdatošanas pakalpojuma maksas apmēru, ja mākoņdatošanas pakalpojuma izveidē ir izmantoti ārvalstu finansiālās palīdzības līdzekļi vai valsts budžeta līdzfinansējuma daļa, kas ar Ministru kabineta lēmumu ir piešķirti konkrētam mērķim. Pakalpojuma maksas apmēra samazinājumā ietver pakalpojumu apjomu, pakalpojumu vienības cenu saskaņā ar cenrādi, pakalpojumu sniegšanas laikposmu, līdzfinansējuma daļu par kuru samazina mākoņdatošanas platormas lietotāja kopējo vai atsevišķu pakalpojumu maksas apmēru un tam ir jāatbilst kopējam piešķirtajam finansējuma apjomam konkrētam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Andriāns Jankovskis (LNB)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28.05.2025.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28.05.2025.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Atzinumi_24-TA-1050.docx</dc:title>
</cp:coreProperties>
</file>

<file path=docProps/custom.xml><?xml version="1.0" encoding="utf-8"?>
<Properties xmlns="http://schemas.openxmlformats.org/officeDocument/2006/custom-properties" xmlns:vt="http://schemas.openxmlformats.org/officeDocument/2006/docPropsVTypes"/>
</file>