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 klimata fonda pārvaldību un Sociālā klimata plāna 2026.-2032. gadam izstrādi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lai nodrošinātu mērķtiecīgu un efektīvu līdzekļu ieguldījumu, būs nepieciešams nopietns darbs pie Investīciju plāna izstrādes, kurā detalizēti tiktu izvērtētas katras pašvaldības vajadzības, pieejamie resursi un piemērotākie risinājumi. Investīciju plāns būs būtisks instruments, lai nodrošinātu, ka finansējums tiek novirzīts uz tieši tiem pasākumiem, kas sniedz vislielāko ekonomisko un sociālo atdevi konkrētajā teritorijā. Tas nozīmē ciešu sadarbību starp pašvaldībām, valsts institūcijām, lai izstrādātu ilgtspējīgus un reālistiskus investīciju risinājumus, vienlaikus nodrošinot arī nepieciešamos līdzfinansēšanas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paust bažas par Finanšu ministrijas (FM) un Valsts kases pieeju ANM (Atveseļošanas un noturības mehānisma) projektu finansēšanā, jo pašvaldībām, lai realizētu projektus, bija jāņem aizņēmumi ar augstām procentu likmēm, kamēr FM budžetā šie paši līdzekļi nonāca kā nodokļu ieņēmumi. Starptautisko ekspertu diskusijās esam dzirdējuši, ka šāda pieeja nav korekta – pašvaldībām, lai segtu PVN maksājumus par projektiem, ir jāņem aizņēmumi, tādējādi šo finansiālo slogu uzliekot uz vietējiem nodokļu maksātājiem. Turklāt atšķirībā no kapitālsabiedrībām, kurām ir iespēja atgūt PVN, pašvaldības šo atvieglojumu nesaņem, kas vēl vairāk apgrūtina to finansiālo situāciju. Tāpēc ir būtiski izvērtēt šo pieeju un meklēt risinājumus, kas nodrošinātu taisnīgāku un ilgtspējīgāku pašvaldību finansēšanas modeli, neuzliekot tām nesamērīgu finansiālo slogu attiecībā pret citiem publiskā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18.03.2025.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18.03.2025.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Atzinumi_25-TA-219.docx</dc:title>
</cp:coreProperties>
</file>

<file path=docProps/custom.xml><?xml version="1.0" encoding="utf-8"?>
<Properties xmlns="http://schemas.openxmlformats.org/officeDocument/2006/custom-properties" xmlns:vt="http://schemas.openxmlformats.org/officeDocument/2006/docPropsVTypes"/>
</file>