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63.</w:t>
            </w:r>
            <w:r w:rsidR="00000000" w:rsidRPr="00000000" w:rsidDel="00000000">
              <w:rPr>
                <w:vertAlign w:val="superscript"/>
                <w:rtl w:val="0"/>
              </w:rPr>
              <w:t xml:space="preserve">1</w:t>
            </w:r>
            <w:r w:rsidR="00000000" w:rsidRPr="00000000" w:rsidDel="00000000">
              <w:rPr>
                <w:rtl w:val="0"/>
              </w:rPr>
              <w:t xml:space="preserve"> punktā piekļuve datiem valsts informācijas sistēmās ir noteikta pārāk plaši un nekonkrēti – nav skaidrs, kādi dati ir ietverti un vai tas attiecas arī uz personas datiem. Līdz ar to lūdzam skaidrot, kādiem konkrētiem datiem valsts informācijas sistēmās paredzēta piekļuve. Ja paredzēta piekļuve personas datiem, lūdzam projektu saskaņot ar Datu valsts inspekciju.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17.07.2025.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17.07.2025.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Atzinumi_25-TA-1526.docx</dc:title>
</cp:coreProperties>
</file>

<file path=docProps/custom.xml><?xml version="1.0" encoding="utf-8"?>
<Properties xmlns="http://schemas.openxmlformats.org/officeDocument/2006/custom-properties" xmlns:vt="http://schemas.openxmlformats.org/officeDocument/2006/docPropsVTypes"/>
</file>