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eWiki atbildes nav pieejamas visiem publiski, lūdzam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kādu atbildi sniedza Eiropas Komisija 2022.gada 11. oktobra atbildē eState aid WIKI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norādīt, ka 2022.gada 5.aprīlī eWiki vietnē Eiropas Komisija sniedza atbildi, ka kombinēto finanšu instrumentu gadījumā visa aizdevuma summa var būt subsīdijas ekvivalents.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1.3.sadaļāietvert skaidrojumu par grozījumu projekta ietekmi uz finansējuma saņēmēju un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ietvertajai informācijai ir jābūt pietiekamai, lai būtu iespējams konstatēt, ka ir izvērtēta ierosināto grozījumu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1.3.sadaļā sniegto skaidrojumu par 39.6.apakšpunkta grozījumiem, skaidri norādot kādas no Finanšu regulas 136.panta 1.punkta prasībām tiek un kādas netiek pārņemtas šajos noteikumos un kāds ir to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atsaucēm uz Finanšu ministrijas un Centrālā finanšu un līgumu aģentūras, kā arī Eiropas Komisijas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5.1.sadaļu ar Eiropas Parlamenta un Padomes 2018. gada 18. jūlija regulu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ietvaros tiks īstenoti stratēģiski svarīgi investīciju projekti saskaņā ar Eiropas Parlamenta un Padomes 2021. gada 12. februāra Regulu ES Nr.2021/241, ar ko izveido Atveseļošanas un noturības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ietvaros tiks īstenoti stratēģiski svarīgi projekti, vēršam uzmanību, ka stratēģiski svarīgiem projektiem nepieciešami</w:t>
            </w:r>
            <w:r w:rsidR="00000000" w:rsidRPr="00000000" w:rsidDel="00000000">
              <w:rPr>
                <w:u w:val="single"/>
                <w:rtl w:val="0"/>
              </w:rPr>
              <w:t xml:space="preserve"> pastiprināti komunikācijas pasākumi</w:t>
            </w:r>
            <w:r w:rsidR="00000000" w:rsidRPr="00000000" w:rsidDel="00000000">
              <w:rPr>
                <w:rtl w:val="0"/>
              </w:rPr>
              <w:t xml:space="preserve">, attiecīgi lūdzam papildināt noteikumu projektu vai anotāciju atbilstoši Finanšu ministrijas vadlīniju nr. 1 "Vadlīnijas informatīvā ziņojuma vai Ministru kabineta noteikumu izstrādei par Eiropas Savienības Atveseļošanas un noturības mehānisma plāna reformas vai investīcijas ieviešanu" 84.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vienā vai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piedāvātā MK noteikumu 37.2.apakšpunkta grozījuma redakcija līdz galam nav skaidra, t.i., kādu intensitāti praksē piemēros gadījumā, ja komersants gūst labumu vienā vai vairākos dažādas intensitātes NUTS 3.līmeņa reģionos - vai vienu intensitāti (zemāko) visam projektam, vai tomēr divas dažādas intensitātes, atkarībā no tā, uz kuru NUTS 3.līmeņa reģionu ir attiecināma katra projekta daļa. Lūdzam to pārskatīt un precizēt. Kā arī lūdzam papildināt anotāciju ar informāciju par MK noteikumu 37.2.apakšpunktā paredzētajiem grozījumiem, skaidrojot grozījumu nepieciešamību, kā arī sniedzot konkrētu piemēru intensitāšu piemērošanai, ja komersants gūst labumu vienā vai vairākos dažādas intensitātes NUTS 3.līmeņa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ievērojot Finanšu regulas 136.panta 1.punkta d) apakšpunkta vi) punktu, papildināt 39.6.1.apakšpunktu ar normu, kas liegtu saņemt atbalstu, ja ir konstatēti pārkāpumi saistībā ar bērnu darbu vai cilvēku tirdzniecību.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regulas 139.panta 1.punkta b) apakšpunkta i) punktu komersantus, kuri veica pārkāpumus, kas ir saistīti ar Finanšu regulas 136.panta 1.punkta d) apakšpunktā noteiktajiem gadījumiem (krāpšana, korupcija un nelikumīgi iegūtu līdzekļu legalizēšana vai teroristu finansēšana), nedrīkst atbalstīt vismaz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Finanšu regulas 136.panta 1.punkta c) un e)–h) apakšpunktos noteiktajos gadījumos piemērojams trīs gadu atbalsta 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39.1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"Risinājuma apraksts" ar informāciju, ka MK noteikumu projekts paredz arī precizējumus 60.7.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iekavās aiz regulas nosaukumiem atrunāt saīsinājumus ņemot vērā, ka turpmāk tabulās tiek lietoti saīsinājumi. Attiecas uz Komisijas Regulu Nr. 651/2014 un Komisijas Regulu Nr. 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 galam aizpildīt anotācijas 5.4.1. tabulas datu laukus attiecībā uz Komisijas Regulas Nr. 651/2014 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ir norādīts, ka MK noteikumu projekts paredz papildināt ar 4</w:t>
            </w:r>
            <w:r w:rsidR="00000000" w:rsidRPr="00000000" w:rsidDel="00000000">
              <w:rPr>
                <w:vertAlign w:val="superscript"/>
                <w:rtl w:val="0"/>
              </w:rPr>
              <w:t xml:space="preserve">1</w:t>
            </w:r>
            <w:r w:rsidR="00000000" w:rsidRPr="00000000" w:rsidDel="00000000">
              <w:rPr>
                <w:rtl w:val="0"/>
              </w:rPr>
              <w:t xml:space="preserve">. punktu, kas nosaka, ka investīcijas ietvaros tiks īstenoti stratēģiski svarīgi investīciju projekti saskaņā ar Eiropas Parlamenta un Padomes 2021. gada 12. februāra Regulu ES Nr. 2021/241, ar ko izveido Atveseļošanas un noturības mehānismu, tādējādi palīdzot sasniegt Eiropas Savienības 2030. gadam izvirzīto klimata mērķu sasniegšanu un 2050. gadam izvirzīto klimata neitralitātes mērķu sasniegšanu un digitālo pārkārtošanos, attiecīgi sekmējot kāpjošu ekonomikas un sociālo konverģenci, atjaunojot un veicinot Savienības ekonomiku, ilgtspējīgu izaugsmi un integrāciju, kā arī radot Eiropas pievienoto vērtību. Attiecīgi lūdzam papildināt anotāciju ar informāciju, kāda ir investīcijas plānotā kopējā ietekme (vēlams kvantitatīvā izteiksmē) uz Eiropas Savienības 2030. gadam izvirzīto klimata mērķu sasniegšanu un 2050. gadam izvirzīto klimata neitralitātes mērķu sasniegšanu. Vienlaikus lūdzam skaidrot, vai visi investīcijas ietvaros īstenotie projekti tiks klasificēti kā stratēģiski svarīgi investīciju projekti saskaņā ar Eiropas Parlamenta un Padomes 2021. gada 12. februāra Regulu ES Nr. 2021/241, ar ko izveido Atveseļošanas un noturības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421 sākotnēji apstiprinātajā anotācijā ir uzsvērts, ka investīcijas īstenošanas laikā Eiropas Komisija sekos līdzi īstenošanas progresam, lūdzam papildināt anotāciju ar aktuālo informāciju par rādītāju sasniegšanas progresu atbilstoši MK noteikumu Nr. 421 9. punktam. Vienlaikus lūdzam skaidrot anotācijā, vai/kā noteikumu projektā ietvertie grozījumi ietekmēs MK noteikumu Nr. 421 9. punktā ietverto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summējot attiecīgās piešķirtā atbalsta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jo atbalstam subsīdijas ekvivalentu aprēķina un nosaka, summējot aizdevuma vai paralēlā aizdevuma subsīdijas ekvivalenta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22.12.2022.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22.12.2022.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