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kritiskās infrastruktūras, tajā skaitā Eiropas mērogā īpaši nozīmīgas kritiskās infrastruktūras, apzināšanas, drošības pasākumu, darbības nepārtrauktības un noturības plānošanas un īstenošanas, incidentu paziņošanas kārtību, noturības pasākumus, kā arī Kritiskās infrastruktūras stratēģijas un Valsts kritiskās infrastruktūras riska novērtējuma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projekts saturiski ir ļoti apjomīgs (sk. 1.punktā noteikto), tad lūdzam noteikt saprātīgu termiņu projekta izskatīšanai un atzinuma sniegšanai - Valsts kanceleja detalizētu atzinumu sniegs līdz 15.12.2025.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Incidentu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Incidentu paziņošanas algoritmos nav iekļauta informācijas apmaiņas kārtība gadījumos, kad Krīzes vadības centrs atbilstoši Nacionālās drošības likumā noteiktajam pārņem krīzes pārvaldību (23.1 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Kritiskās infrastruktūras īpašnieks vai tiesiskais valdītājs nekavējoties informē kompetento iestādi par incidentiem, kas ietekmē vai var ietekmēt kritiskās infrastruktūras pamatpakalpojumu sniegšanu, iesniedzot kompetentajai iestādei sākotnēju paziņojumu nekavējoties, bet ne vēlāk kā 24 stundu laikā pēc tam, kad ir uzzinājis par 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57.punkta redakciju un no tās izrietošo termina "incidents" saturu, ņemot vērā Nacionālās drošības likuma 22.2.panta (2)1 daļā noteikto "incidenta" definīciju, jo pašlaik tie būtiski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akta mērķa formulējumu. Tiesību akta mērķim būtu jābūt vērstam uz pozitīvām izmaiņām, ko paredzēts panākt Latvijā, nevis tikai ieviest Eiropas Parlamenta un Padomes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pārņemšana var būt pamatojums tiesību akta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iekļautas administratīvās un atbilstības prasības gan fiziskām un juridiskām personām, gan valsts pārvaldes iestādēm ir nepieciešams veikt administratīvo izmaksu novērtējumu mērķa grupām, kā arī atbilstības izmaksu novērtējumu. Valsts kancelejas ieskatā ir vērtējams noteikumu projekta 2.sadaļas 6., 7., 9. un 10.punkts, 3. sadaļas 14., 15., 16., 17., punkts un 18.3. apakšpunkts; 4. sadaļas 20., 28., 29., 31., 33., 35., 36., 39. 44., 45., 48., 50. punkts un 56.5. un 56.6 apakšpunkts; 5. sadaļas 57., 58., 60., 62., 65., 68.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un atbilstības  novērtējums juridiskām un fiziskām personām aprakstāms anotācijas 2. daļas 2.3, 2.4. un 2.5. apakšpunktā. Valsts iestādēm  administratīvo izmaksu un atbilstības izmaksu monetāru novērtējumu aprakstāms anotācijas 7. sadaļas 7.2. un 7.3.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