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ANO Konvencijā par personu ar invaliditāti noteiktās tiesības uz piekļūstamu vidi, lūdzam rast iespēju papildināt noteikumu projektu ar jaunu punktu, kas paredz atbalstāmās darbības un izmaksas vides un informācijas piekļūstamības nodrošināšanai. Saskaņā ar šiem noteikumiem izmaksas, kas nav iekļaujamas kā attiecināmās izmaksas, ir finansējamas ārpus projekta. Attiecīgi, lai sasniegtu MK noteikumu projektā noteikto  horizontālā principa "Vienlīdzība, iekļaušana, nediskriminācija un pamattiesību ievērošana" (HP VINPI) rādītāju sasniegšanu un specifisko HP VINPI darbību īstenošanu, noteikumu projektā ir jāparedz  izmaksas vides un informācijas piekļūstamības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ievēro horizontālo principu „Vienlīdzība, iekļaušana, nediskriminācija un pamattiesību ievērošana” un uzkrāj datus par projekta ietekmi uz horizontālo principu rādītājiem,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41.2. apakšpunkta redakciju atbilstoši vadlīnijās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minētajām vadlīnijām, pasākumiem ar netiešu ietekmi uz HP VINPI, ierobežotas projektu iesniegumu atlases gadījumā ir jānodrošina vismaz viens HP VINPI rādītājs. Ņemot vērā pasākuma saturu un atbalstāmās darbības, aicinām noteikumu projektā paredzēt ne vairāk kā vienu HP VINPI rādītāju ar atrunu,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ievēro horizontālo principu „Vienlīdzība, iekļaušana, nediskriminācija un pamattiesību ievērošana” un uzkrāj datus par horizontālā principa rādītāju (ja attiecināms): konsultatīva rakstura pasākumu skaits par būvētās vides, IT risinājumu, IT tehnoloģiju piekļūstamību personām ar dažādiem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specifiskajām un vispārīgajām horizontālā principa "Vienlīdzība, iekļaušana, nediskriminācija un pamattiesību ievērošana" (HP VINPI) darbībām, kuras sekmēs personu ar invaliditāti vienlīdzīgas iespējas un tiesības, atbilstoši LM/TM vadlīnijās [1]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pasākumam tiek piemērots izņēmums attiecībā uz vienoto izvēles  kritēriju un vienoto kritēriju izmantošanu, proti nav jāpiemēro kritēriji par horizontālajiem principiem,  vēršam uzmanību, ka finansējuma saņēmējam ir jāievēro horizontālais princips, kas noteikts ES fondu kopējās regulas 2021/1060 9.pantā, kā arī jāievēro LM/TM vadlīnijās [1] sniegtās rekomendācijas attiecībā uz HP VINPI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2.1.1.5. pasākuma ietvaros tiks īstenotas vispārīgas un specifiskas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HP VINPI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informācija tīmeklī ir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VINPI darbības (attiecināms,ja projektā paredzētas vides un informācijas piekļūstamības nodrošināšanas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būvnormatīvā LBN 200-21 noteiktajam, projekta ietvaros tiks īstenotas labās prakses darbības, kas īpaši veicina vides piekļūstamību cilvēkiem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pēdējo rindkopu un  specifisko darbību -  "Projekta ietvaros tiks īstenotas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(Specifiskās HP darbības) – izstrādājot iepirkumu nolikumus, kā arī nodrošinot pakalpojumus, tiks ņemtas vērā sieviešu un vīriešu vajadzības, situācija un iespējas.", jo šāda specifiskā darbība neizriet no pasākuma atbalstāmajām darbībām un satura.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dzēst no 8.2.sadaļas šo rindkopu, jo tā dublē informāciju 8.1.9. un 8.1.10. sadaļās, sākot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vispārīgas un specifiskas horizontālā principa "Vienlīdzība, iekļaušana, nediskriminācija un pamattiesību ievērošana", kas veicina personu ar invaliditāti vienlīdzīgas iespējas un tiesības" un beidzot ar "projektēšanas laikā un pirms objekta nodošanas ekspluatācijā publiskajai infrastruktūrai tiks veikts vides un informācijas piekļūstamības pašnovērtējums, kur iegūto punktu skaits nav zemāks par 8 (LM vides un informācijas piekļūstamības pašnovērtējuma metodika pieejama šeit: https://www.lm.gov.lv/lv/vides-pieklustamibas-pasnovertejums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norādīt informāciju par rīkojumu ar kuru noteikts, ka pasākumam tiek piemērots izņēmums attiecībā uz vienoto izvēles  kritēriju un vienoto kritēriju izmantošanu, proti nav jāpiemēro kritēriji par horizontālajiem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26.06.2024.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26.06.2024.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Atzinumi_24-TA-880.docx</dc:title>
</cp:coreProperties>
</file>

<file path=docProps/custom.xml><?xml version="1.0" encoding="utf-8"?>
<Properties xmlns="http://schemas.openxmlformats.org/officeDocument/2006/custom-properties" xmlns:vt="http://schemas.openxmlformats.org/officeDocument/2006/docPropsVTypes"/>
</file>