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finanšu instrumentu kopīgie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8.02.2023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8.02.2023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