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26-TA-1394: Noteikumu 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Ministru kabineta 2024. gada 16. janvāra noteikumos Nr. 55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īstenošanas noteikumi"</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(grozījumu)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Noteikumu konsolidētā versija 2.0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Finanšu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16.06.2026.</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Borders/>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(grozījumu) projekts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Grozījumi Ministru kabineta 2024. gada 16. janvāra noteikumos Nr. 55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5.1.1.1. pasākuma "Infrastruktūra uzņēmējdarbības atbalstam" īstenošanas noteikumi"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valdības aktuālās prioritātes un situāciju, papildus finansējuma novirzīšana uzņēmējdarbības atbalstam Austrumu pierobežas reģionā ir konceptuāli atbalstāms priekšlikums, vienlaikus, lūdzam Viedās administrācijas un reģionālās attīstības ministriju nodrošināt, ka Ministru kabinetā (turpmāk – MK) tiek virzītas dokumentu versijas, kurās ietvertas š.g. 16.jūnijā elektroniskā pasta formātā saskaņotās izmaiņas.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Vēršam uzmanību, ka ierosinātā finansējuma pārcelšana no 4.2.1.7. pasākuma “Pirmsskolas izglītības iestāžu infrastruktūras attīstība” (turpmāk – 4.2.1.7. pasākums) un 5.1.1.3. pasākuma "Publiskās ārtelpas attīstība" (turpmāk – 5.1.1.3. pasākums) uz 5.1.1.1. pasākuma “Infrastruktūra uzņēmējdarbības atbalstam” (turpmāk – 5.1.1.1.pasākums) trešo atlases kārtu (Latgales plānošanas reģionam) ir ES kohēzijas politikas programmas 2021. -2027.gadam (turpmāk – Programma) līmeņa izmaiņas. Attiecīgi Programmas grozījumi Nr.6 šobrīd ir tikai izstrādes stadijā, t.sk. nav ne neformālas vienošanās ar Eiropas Komisiju (turpmāk – EK), ne nacionālu valdības lēmumu par Programmas pārdalēm.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Tas nozīmē, ka ir būtiski apzināties iespējamos riskus, virzot šādu lēmumu pirms Programmas grozījumiem, un MK protokollēmuma projektā nepieciešams iekļaut skaidru atrunu par saistību uzņemšanos termiņiem/ierobežojumiem, rīcību negatīva EK lēmuma gadījumā, kā arī anotāciju papildināt ar informāciju ar iespējamiem riskiem/risinājumiem, proti, potenciālām diskusijām ar EK attiecībā uz pārdali no 4.politikas mērķa.</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Tāpat jāuzsver, ka primārais formāts caurspīdīgai un koordinētai finansējuma pārdalei ir Ministru prezidenta š.g. 8.jūnijā izveidotā ES fondu tematiskajā komitejā, attiecīgi, t.sk. turpmākus priekšlikumus/tālāku atlikumu pārdali lūdzam virzīt diskusijai komitejā.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Baldunčika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noteikumu projekta anotācijas sadaļā 1.3. "Pašreizējā situācija, problēmas un risinājumi" (turpmāk – 1.3. sadaļa) apakšsadaļā “Risinājuma apraksts” norādīto finansējumu intervences kodam "Makroreģionālā un jūras baseinu stratēģija", salāgojot to ar 5.1.1.1.pasākuma pieejamo Eiropas Reģionālā attīstības fonda (turpmāk – ERAF) finansējumu.</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MK protokollēmuma projekta 4. un 5.punktā atrunātās finansējuma izmaiņas 5.1.1.3. pasākums un 4.2.1.7. pasākumā, lūdzam papildināt anotācijas 1.3. sadaļu ar abu minēto pasākumu ERAF finansējuma sadalījumu pa intervences kategorijām.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Baldunčika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papildināt noteikumu projekta anotācijas 1.3.sadaļu ar informāciju par ierosināto grozījumu ietekmi uz uzsākto projektu iesniegumu atlases kārtu, projekta iesniedzējiem vai finansējuma saņēmējiem.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Baldunčika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netiks īstenots Valmieras novada pašvaldības projekts 4.2.1.7/1/23/A/005 "Valmiermuižas pirmsskolas izglītības iestādes "Burtiņš" infrastruktūras attīstība" un Ķekavas novada pašvaldības projekts 4.2.1.7/1/23/A/010 “Jauna pirmsskolas izglītības iestāde Titurgā, Baložu pilsētā, Ķekavas novadā ” lūdzam anotācijā sniegt informāciju par ietekmi uz 4.2.1.7. pasākuma Programmas iznākuma un rezultāta rādītājiem.</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Baldunčika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5.</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20.</w:t>
            </w:r>
            <w:r w:rsidR="00000000" w:rsidRPr="00000000" w:rsidDel="00000000">
              <w:rPr>
                <w:vertAlign w:val="superscript"/>
                <w:rtl w:val="0"/>
              </w:rPr>
              <w:t xml:space="preserve">1</w:t>
            </w:r>
            <w:r w:rsidR="00000000" w:rsidRPr="00000000" w:rsidDel="00000000">
              <w:rPr>
                <w:rtl w:val="0"/>
              </w:rPr>
              <w:t xml:space="preserve"> Ja Eiropas Savienības kohēzijas politikas programmas 2021.–2027. gadam 4.2.1. specifiskā atbalsta mērķa "Uzlabot vienlīdzīgu piekļuvi iekļaujošiem un kvalitatīviem pakalpojumiem izglītības, mācību un mūžizglītības jomā, attīstot pieejamu infrastruktūru, tostarp veicinot noturību izglītošanā un mācībās attālinātā un tiešsaistes režīmā"  4.2.1.7. pasākuma "Pirmsskolas izglītības iestāžu infrastruktūras attīstība" un Eiropas Savienības kohēzijas politikas programmas 2021.–2027. gadam 5.1.1. specifiskā atbalsta mērķa "Vietējās teritorijas integrētās sociālās, ekonomiskās un vides attīstības un kultūras mantojuma, tūrisma un drošības veicināšana pilsētu funkcionālajās teritorijās"  5.1.1.3. pasākuma "Publiskās ārtelpas attīstība" projektu īstenošanas rezultātā atbrīvojas Eiropas Reģionālās attīstības fonda finansējums, to novirza pasākuma trešajai atlases kārtai atbilstoši šo noteikumu </w:t>
            </w:r>
            <w:r w:rsidR="00000000" w:rsidRPr="00000000" w:rsidDel="00000000">
              <w:rPr>
                <w:rtl w:val="0"/>
              </w:rPr>
              <w:t xml:space="preserve">14.3.2.</w:t>
            </w:r>
            <w:r w:rsidR="00000000" w:rsidRPr="00000000" w:rsidDel="00000000">
              <w:rPr>
                <w:rtl w:val="0"/>
              </w:rPr>
              <w:t xml:space="preserve"> apakšpunktam.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noteikumu projekta 20.</w:t>
            </w:r>
            <w:r w:rsidR="00000000" w:rsidRPr="00000000" w:rsidDel="00000000">
              <w:rPr>
                <w:vertAlign w:val="superscript"/>
                <w:rtl w:val="0"/>
              </w:rPr>
              <w:t xml:space="preserve">1</w:t>
            </w:r>
            <w:r w:rsidR="00000000" w:rsidRPr="00000000" w:rsidDel="00000000">
              <w:rPr>
                <w:rtl w:val="0"/>
              </w:rPr>
              <w:t xml:space="preserve"> punkts ir uz nākotni vērsts nosacījums un tam nav juridiskā sloga un noteiktības, lūdzam minēto punktu svītrot, nepieciešamības gadījumā iekļaut minēto informāciju anotācijā. Vēršam uzmanību, ka, atbilstoši Eiropas Savienības fondu 2021.-2027. gada plānošanas perioda vadības likuma 19.panta 13.punkta, MK nosaka specifiskajam atbalsta mērķim pieejamo finansējumu, ievērojot minēto, lai nodrošinātu nosacījuma izpildi, jebkurā gadījumā būs jānodrošina konkrēta apjoma finansējuma atbrīvošana minētajos pasākumos, veicot atsevišķus grozījumus, kā arī atbrīvotā finansējuma noteiktā apjomā novirzīšanu pasākumam vai konkrētai projektu iesniegumu atlases kārtai.</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vēršam uzmanību, ka ERAF finansējuma pārdales starp Programmas politikas mērķiem ir saskaņojamas ar EK, veicot attiecīgus grozījumus Programmā.</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Kristīne Mežale (FM)</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6.</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36.9. projekta iesniegumu pamatojošās dokumentācijas sagatavošanas izmaksas (izņemot projekta iesnieguma veidlapas aizpildīšanas izmaksas) un uzraudzības izmaksas, kas kopā nepārsniedz 10 procentus no projekta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Spēkā esošajā MKN redakcijā izdevumu pozīcijās ar noteiktu procentuālo ierobežojumu (piemēram, 36.9. punktā) nav noteikts, vai procentuālais ierobežojums aprēķināms no projekta plānotajām vai faktiskajām attiecināmajām izmaksām, kas atbilst Vadošās iestādes Vadlīniju attiecināmo izmaksu noteikšanai Eiropas Savienības kohēzijas politikas programmas 2021.-2027.gada plānošanas periodā (turpmāk- vadlīnijas) 19.punktam, tomēr, ņemot vērā atsevišķus Revīzijas iestādes konstatējumus attiecībā uz situācijām, kad projekta īstenošanas gaitā rodas neatbilstoši veiktie izdevumi vai ietaupījums, kas var novest pie procentuālā ierobežojuma pārsnieguma konstatēšanas, pat ja izdevumi atbilst apstiprinātajam projekta budžetam, vadlīnijās paredzēts veikt grozījumus.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minēto, lūdzam izvērtēt iespēju un nepieciešamību precizēt procentuālā ierobežojuma piemērošanas nosacījumus, nodrošinot, lai tie būtu viennozīmīgi, saprotami un praksē vienādi piemērojami visām iesaistītajām pusēm, nosakot, ka procentuālais ierobežojums tiek aprēķināts attiecībā pret projekta plānotajām kopējām tiešajām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Ņemot vērā, ka procentuālie ierobežojumi noteikti vairākos citos MKN punktos (36.1.8., 36.3.5., 36.3.6., 36.4.3., 36.6., 36.8., 36.9., 52.34.), lūdzam izvērtēt nepieciešamību noteikt, ka procentuālais ierobežojums tiek aprēķināts pret projekta </w:t>
            </w:r>
            <w:r w:rsidR="00000000" w:rsidRPr="00000000" w:rsidDel="00000000">
              <w:rPr>
                <w:b w:val="1"/>
                <w:u w:val="single"/>
                <w:rtl w:val="0"/>
              </w:rPr>
              <w:t xml:space="preserve">plānotajām</w:t>
            </w:r>
            <w:r w:rsidR="00000000" w:rsidRPr="00000000" w:rsidDel="00000000">
              <w:rPr>
                <w:rtl w:val="0"/>
              </w:rPr>
              <w:t xml:space="preserve"> kopējām tiešajām attiecināmajām izmaksām.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36.9. projekta iesniegumu pamatojošās dokumentācijas sagatavošanas izmaksas (izņemot projekta iesnieguma veidlapas aizpildīšanas izmaksas) un uzraudzības izmaksas, kas kopā nepārsniedz 10 procentus no projekta </w:t>
            </w:r>
            <w:r w:rsidR="00000000" w:rsidRPr="00000000" w:rsidDel="00000000">
              <w:rPr>
                <w:b w:val="1"/>
                <w:u w:val="single"/>
                <w:rtl w:val="0"/>
              </w:rPr>
              <w:t xml:space="preserve">plānotajām</w:t>
            </w:r>
            <w:r w:rsidR="00000000" w:rsidRPr="00000000" w:rsidDel="00000000">
              <w:rPr>
                <w:rtl w:val="0"/>
              </w:rPr>
              <w:t xml:space="preserve"> kopējām attiecināmajām izmaksām:</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Agate Streipa (CFLA)</w:t>
            </w:r>
          </w:p>
        </w:tc>
      </w:tr>
      <w:tr>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7.</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Noteikumu konsolidētā versija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36.10. projekta vadības personāla izmaksas, kas radušās uz darba līguma vai uzņēmuma (pakalpojuma) līguma pamata, tai skaitā valsts sociālās apdrošināšanas obligātās iemaksas no apliekamajām attiecināmajām izmaksām, ņemot vērā, ka:</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izvērtēt iespēju svītrot noteikumu 36.10.1., 36.10.2. apakšpunktus ņemot vērā, ka 09.06.2025. veikti grozījumi vadlīnijās, kurās vairs nav iekļauti nosacījumi tiešo projektu vadības personāla izmaksu maksimālajiem ierobežojumiem projektos līdz un virs 5 000 000 EUR.</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Vienlaikus lūdzam izvērtēt nepieciešamību svītrot noteikumu projekta 36.10.3.apakšpunktā nosacījumu par 30% noslodzi projektā, ņemot vērā, ka vadlīnijās vairs nav iekļauts šāds nosacījums.</w:t>
            </w:r>
          </w:p>
          <w:p w:rsidP="00000000" w:rsidRDefault="00000000" w:rsidR="00000000" w:rsidRPr="00000000" w:rsidDel="00000000">
            <w:pPr>
              <w:contextualSpacing w:val="0"/>
              <w:spacing w:lineRule="auto" w:line="240"/>
              <w:pBdr/>
            </w:pPr>
            <w:r w:rsidR="00000000" w:rsidRPr="00000000" w:rsidDel="00000000">
              <w:rPr>
                <w:rtl w:val="0"/>
              </w:rPr>
              <w:t xml:space="preserve"/>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Borders/>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Jolanta Baldunčika (FM)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26-TA-1394</w:t>
    </w:r>
    <w:r>
      <w:br/>
    </w:r>
    <w:r w:rsidR="00000000" w:rsidRPr="00000000" w:rsidDel="00000000">
      <w:rPr>
        <w:rtl w:val="0"/>
      </w:rPr>
      <w:t xml:space="preserve">Izdrukāts 16.06.2026. 15.49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26-TA-1394</w:t>
    </w:r>
    <w:r>
      <w:br/>
    </w:r>
    <w:r w:rsidR="00000000" w:rsidRPr="00000000" w:rsidDel="00000000">
      <w:rPr>
        <w:rtl w:val="0"/>
      </w:rPr>
      <w:t xml:space="preserve">Izdrukāts 16.06.2026. 15.49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Atzinumi_26-TA-1394.docx</dc:title>
</cp:coreProperties>
</file>

<file path=docProps/custom.xml><?xml version="1.0" encoding="utf-8"?>
<Properties xmlns="http://schemas.openxmlformats.org/officeDocument/2006/custom-properties" xmlns:vt="http://schemas.openxmlformats.org/officeDocument/2006/docPropsVTypes"/>
</file>