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Virszemes ūdensobjektu un ostu akvatoriju tīrīšanas un padziļināšanas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tiesību akta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projektā veiktajiem precizējumiem, iesakām aktualizēt arī anotāciju. Vēršam uzmanību, ka 1992. gada Konvencija par Baltijas jūras reģiona jūras vides aizsardzību (Helsinku konvencija), pēc veiktajiem precizējumiem, saistāma ar projekta 18. nevis 20.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30.06.2025.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30.06.2025.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Atzinumi_24-TA-521.docx</dc:title>
</cp:coreProperties>
</file>

<file path=docProps/custom.xml><?xml version="1.0" encoding="utf-8"?>
<Properties xmlns="http://schemas.openxmlformats.org/officeDocument/2006/custom-properties" xmlns:vt="http://schemas.openxmlformats.org/officeDocument/2006/docPropsVTypes"/>
</file>