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papildu finansējumu sabiedriskā transporta pakalpojumu sniegšanai 2023.gadā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 sadaļā norādīts, ka reģionālās nozīmes pārvadājumos bez maksas pārvadāto Ukrainas civiliedzīvotāju skaits 2023.gada astoņos mēnešos salīdzinājumā 2022.gada to pašu periodu, ir pieaudzis par 10,5%, kā rezultātā ir palielinājies arī kompensējamo zaudējumu apmērs par 3%, sasniedzot 2023.gada astoņos mēnešos 1 053 894 euro (t.sk. PVN). Lūdzam ziņojumu papildināt ar informāciju, vai un kā tiek nodrošināta datu pārbaude, ka bez maksas braucieni tiek piešķirti Ukrainas civiliedzīvotājiem.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 sadaļas tabulā Nr.2 norādītais apmērs 3.punktā ailē “Reģionālie vilcienu pārvadājumi” atšķiras no tabulā Nr.6 norādītā apmēra. Lūdzam izvērtēt un precizēt, vienlaikus, ja norādītais apmērs tiek precizēts šajā tabulā, tad attiecīgi arī jāprecizē citos šīs tabulas punktos aprēķinātās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III sadaļas 2.punktā norādīts, ka šobrīd nolemts atlikt braukšanas maksas (tarifu) izmaiņas 2023.gadā, vienlaikus nav sniegta informācija, kas šādu lēmumu ir pieņēmis. Vēršam uzmanību, ka Sabiedriskā transporta padomes 2023.gada 29.septembra sēdē (prot. Nr.8, 11.§) informācija par tarifu izmaiņām reģionālās nozīmes dotētajos maršrutos tika pieņemta zināšanai, nepieņemot lēmumus jautājuma atlikšanai. Vienlaikus norādām, ka ziņojuma II sadaļas tabulā Nr.2 sniegtā informācija liecina, ka reģionālajos vilcienu pārvadājumos biļešu ieņēmumu segums pār kompensējamiem izdevumiem ir 41,39%, savukārt reģionālajos autobusu pārvadājumos tas ir vēl zemāks, proti, tikai 32,54% apmērā. Uzskatām, ka situācijā, kad biļešu ieņēmumu segums pie augošām izmaksām ir tik zemā apmērā, nav atbalstāma ilgāka kavēšanās ar braukšanas maksas (tarifu) pārskatīšanu. Attiecīgi lūdzam pārskatīt un precizēt ziņojumā sniegto informāciju attiecībā uz braukšanas maksas (tarifu) izmaiņām, tai skaitā norādot, ka Satiksmes ministrija Ministru kabineta 2023.gada 20.jūnija sēdes prot. Nr.33, 49.§ 2.punktā dotā uzdevuma izpildi nodrošinās 2023.gada ietvaros un līdz 2023.gada 29.decembrim informēs Ministru kabinetu par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III sadaļas 3.2.apakšpunktā izvērtēt un precizēt norādīto skaidrojumu attiecībā uz administrācijas izmaksām, ņemot vērā tabulā Nr. 6 norādīto, ka administrācijas izmaksu prognoze 2023.gadam, salīdzinot ar 2022.gada izpildi, palielinās par 843 tūkst. </w:t>
            </w:r>
            <w:r w:rsidR="00000000" w:rsidRPr="00000000" w:rsidDel="00000000">
              <w:rPr>
                <w:i w:val="1"/>
                <w:rtl w:val="0"/>
              </w:rPr>
              <w:t xml:space="preserve">euro</w:t>
            </w:r>
            <w:r w:rsidR="00000000" w:rsidRPr="00000000" w:rsidDel="00000000">
              <w:rPr>
                <w:rtl w:val="0"/>
              </w:rPr>
              <w:t xml:space="preserve"> jeb 19,57 %.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III sadaļas 4.punktā skaidrot, kā noteikts norādītais prognozētais kompensējamo zaudējumu apmērs 2023.gadā pārvadājumiem, kas ir ārpus pilsētas administratīvās teritorijas, ja maršruta daļa ir vairāk kā 30% no kopējā maršruta garuma 2 253 914 </w:t>
            </w:r>
            <w:r w:rsidR="00000000" w:rsidRPr="00000000" w:rsidDel="00000000">
              <w:rPr>
                <w:i w:val="1"/>
                <w:rtl w:val="0"/>
              </w:rPr>
              <w:t xml:space="preserve">euro</w:t>
            </w:r>
            <w:r w:rsidR="00000000" w:rsidRPr="00000000" w:rsidDel="00000000">
              <w:rPr>
                <w:rtl w:val="0"/>
              </w:rPr>
              <w:t xml:space="preserve"> apmērā, un prognozētais kompensējamo zaudējumu apmērs 2023.gadā par personu ar invaliditāti pārvadāšanu valstspilsētas 12 788 769 </w:t>
            </w:r>
            <w:r w:rsidR="00000000" w:rsidRPr="00000000" w:rsidDel="00000000">
              <w:rPr>
                <w:i w:val="1"/>
                <w:rtl w:val="0"/>
              </w:rPr>
              <w:t xml:space="preserve">euro</w:t>
            </w:r>
            <w:r w:rsidR="00000000" w:rsidRPr="00000000" w:rsidDel="00000000">
              <w:rPr>
                <w:rtl w:val="0"/>
              </w:rPr>
              <w:t xml:space="preserve"> apmērā. Vēršam uzmanību, ja prognozes noteikšanai izmanto ziņojuma II sadaļas tabulā Nr.3 norādītos faktiskās izpildes 7 un 8 mēnešu datus un aprēķina vidējo 1 mēneša izpildi, tad prognozei 2023.gada 12 mēnešiem jābūt mazākā apmērā nekā šobrīd norādīts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III sadaļas 4.punktu papildināt ar informāciju, kāda ir aktuālā situācija ar braukšanas maksas atvieglojumu uzskaites sistēmas ieviešanu un tās izmantošanu datu pārbaudē par piešķirtajiem braukšanas maksas atvieglojumiem valstspilsētu pārvadājumos.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III sadaļas tabulās Nr.5, Nr.6, Nr.7 un Nr.8 ailes nosaukumu “Plāns 2023. gadam” precizēt uz “Prognoze 2023. gadam”, ņemot vērā, ka tajā norādītais apmērs ir prognoze par kompensējamo zaudējumu apmēru, attiecīgi arī precizējot pašu tabulu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sniegt skaidrojumu, kā noteikts tabulā Nr. 5 norādītais apmērs 2023.gada prognozētajām kompensējamām izmaksām atbilstoši līgumiem 88 426 659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tabulā Nr.6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norādītos finansējuma apmērus izdevuma pozīcijās “Materiālu izmaksas kopā” un “Pārējās sabiedriskā transporta pakalpojumu sniegšanas izmaksas kopā”, jo kopsummas neatbilst apakšpozīcijās norādītajiem apmēriem, attiecīgi arī precizējot informāciju izmaiņu ailēs un izmaksas kopā ailē.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- 2023.gada 8 mēnešu izpildes informāciju, jo tabulā Nr. 3 tā norādīta citā apmērā, vienlaikus ņemot vērā iepriekš norādīto par šajā tabulā nepieciešamajiem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III sadaļas 6.punktā pēdējā rindkopā norādītos 1., 2. un 3. punktus un to apakšpunktus, norādot nepieciešamo finansējuma apmēru 2023.gadam kopā, neizdalot atsevišķus laika periodus, šādā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reģionālās nozīmes pārvadājumos ar autobusiem;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reģionālās nozīmes pārvadājumos ar vilcieniem;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valstspilsētas pašvaldībām par personu ar invaliditāti pārvadāšanu.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III sadaļas 6.punktā attiecībā uz informāciju par Ukrainas civiliedzīvotāju pārvadāšanu papildināt aiz teksta “no budžeta resora “74. Gadskārtējā valsts budžeta izpildes procesā pārdalāmais finansējums”” ar tekstu “programmas 17.00.00 "Finansējums Ukrainas civiliedzīvotāju atbalsta likumā noteikto pasākumu īstenošanai”, pievienojot zemsvītras atsauci ar norādi uz likuma "Par valsts budžetu 2023. gadam un budžeta ietvaru 2023., 2024. un 2025. gadam" 65.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III sadaļas 10. lpp. pirmajā rindkopā precizēt pirmo teikumu, vārdu “Saskaņā ar sagatavoto valsts budžeta likumprojektu” vietā norādot vārdus “Saskaņā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tabulā Nr.4 pozīcijai “Vidējā pakalpojumu cena īstermiņa līgumos” ailē “2023.gada otrais pusgads” norādīto min vērtību uz 0,9384.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tabulai Nr.8 sniegt atsauci zem tabula attiecībā uz 4. punktā norādītajiem rādītājiem “Nobraukums maršrutu tīklā, kilometri (vilcieniem - vilcienkilometri)” un “Nobraukums maršrutu tīklā, kilometri (vilcieniem - vagonkilometri)”, skaidrojot tos atšķirību un rādītāju nozīmi aprēķinos.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tabulai Nr.8 pozīcijām nr. 10. un 11. aizpildīt aili "Pavisam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23-TA-2513</w:t>
    </w:r>
    <w:r>
      <w:br/>
    </w:r>
    <w:r w:rsidR="00000000" w:rsidRPr="00000000" w:rsidDel="00000000">
      <w:rPr>
        <w:rtl w:val="0"/>
      </w:rPr>
      <w:t xml:space="preserve">Izdrukāts 06.11.2023. 19.38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23-TA-2513</w:t>
    </w:r>
    <w:r>
      <w:br/>
    </w:r>
    <w:r w:rsidR="00000000" w:rsidRPr="00000000" w:rsidDel="00000000">
      <w:rPr>
        <w:rtl w:val="0"/>
      </w:rPr>
      <w:t xml:space="preserve">Izdrukāts 06.11.2023. 19.38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Atzinumi_23-TA-2513.docx</dc:title>
</cp:coreProperties>
</file>

<file path=docProps/custom.xml><?xml version="1.0" encoding="utf-8"?>
<Properties xmlns="http://schemas.openxmlformats.org/officeDocument/2006/custom-properties" xmlns:vt="http://schemas.openxmlformats.org/officeDocument/2006/docPropsVTypes"/>
</file>