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oktobra noteikumos Nr. 927 "Noteikumi par īpašām stabilitātes prasībām ro-ro pasažieru kuģiem"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veiktas izmaiņas Ministru kabineta 2010. gada 5. oktobra noteikumu Nr. 927 "Noteikumi par īpašām stabilitātes prasībām ro-ro pasažieru kuģiem" (turpmāk - noteikumi Nr. 927) vienībās, ar kurām pārņemtas Eiropas Parlamenta un Padomes 2003. gada 14. aprīļa direktīvas Nr.  2003/25/EK par īpašām stabilitātes prasībām ro-ro pasažieru kuģiem (turpmāk - direktīva Nr. 2003/25/EK), prasības (proti, prasības, kuras neparedz Eiropas Parlamenta un Padomes 2023.gada 10.maija Direktīva 2023/946, ar ko Direktīvu 2003/25/EK groza attiecībā uz uzlabotu stabilitātes prasību iekļaušanu (turpmāk - direktīva Nr. 2023/946), piemēram, tiek skaidroti šajā direktīvā skaidrotie termini "palikušie brīvsāni (fr )" un "nozīmīgs viļņu augstums (hs )", lūdzam atbilstoši papildināt noteikumu projekta anotācijas 5. sadaļu ar informāciju par konkrēto attiecīgās direktīvas Nr. 2003/25/EK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direktīvas Nr. 2023/946 1. panta 8. un 9. punkta pārņemšanu anotācijas 5.4. sadaļas 1. tabulā norādīta acīmredzami nekorekti. Kā arī no tabulas neizriet, kā paredzēts izpildīt prasību, ka dalībvalstis, rīkojoties ostas valsts statusā, atzīst trešo valstu izdotos sertifikātus, kuros norādīts, ka ro-ro pasažieru kuģis atbilst šajā direktīvā noteiktajām īpašajām stabilitātes prasībām. Attiecīgi nepieciešams papildināt minētajā tabulas vienībā ietverto informāciju, kā minētā prasība pēc būtības un mērķa tiek pārņemta ar noteikumu projekta 22. punktu, kas paredz, ka atzīti tiek trešo valstu sertifikāti, kas izsniegti saskaņā ar Stokholmas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ņemot vērā, ka direktīvas 2023/946 1. panta 8. punktā ietverta rīcības brīvība par sertifikātu apvienošanu ar citiem saistītiem sertifikātiem, sniegt skaidrojumu par to, vai minētā rīcības brīvība ir izmantota un kādēļ izmantota vai nav izmantota attiecīgā rīcības brīvība. Kā arī lūdzam izvērtēt un nepieciešamības gadījumā precizēt noteikumu projekta 14. punktu, ņemot vērā, ka no norādes "kam var būt pievienoti citi saistītie sertifikāti" pirmšķietami neizriet, kādi citi saistītie sertifikāti var būt pievienoti, jo no noteikumu projekta neizriet, vai apliecības tiek apvienotas ar citiem saistītiem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skaidrot, kā paredzēts pārņemt direktīvas Nr. 2023/946 (konsolidētā versija) 9. panta 2. punkta prasības. Nepieciešamības gadījumā lūdzam attiecīgi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5.5. sadaļas 2. tabulu ar informāciju par starptautisko līgumu saistību (tostarp 1974. gada Starptautiskās konvencijas par cilvēka dzīvības aizsardzību uz jūras saistību izpildi un noteikumu projekta 5., 25. un 26. punktā minētie), kuras tiek izpildītas vai ieviestas ar noteikumu projektu, norādot attiecīgo saistību būtību un šo saistību izpildei nepieciešamos pasākumus vai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ro-ro pasažieru kuģis - kuģis, kurš pārvadā vairāk nekā 12 pasažierus un uz kura ir ro-ro kravas telpas vai īpašas kategorijas telpas, kā noteikts 1974.gada Starptautiskās konvencijas par cilvēka dzīvības aizsardzību uz jūras II-2.nodaļas 3.noteikumā;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w:t>
            </w:r>
            <w:r w:rsidR="00000000" w:rsidRPr="00000000" w:rsidDel="00000000">
              <w:rPr>
                <w:vertAlign w:val="superscript"/>
                <w:rtl w:val="0"/>
              </w:rPr>
              <w:t xml:space="preserve">1</w:t>
            </w:r>
            <w:r w:rsidR="00000000" w:rsidRPr="00000000" w:rsidDel="00000000">
              <w:rPr>
                <w:rtl w:val="0"/>
              </w:rPr>
              <w:t xml:space="preserve">1. apakšpunktu vai pamatot minētā termina skaidrošanas nepieciešamību un skaidrojuma atbilstību Jūrlietu pārvaldes un jūras drošības likumā lietotajam attiecīgajam terminam. Norādām, ka atbilstoši juridiskās tehnikas prasībām zemāka juridiskā spēka normatīvajā aktā nav pieļaujams skaidrot terminus, kuri skaidroti vai lietoti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Jūras administrācija izveido un uztur to jūras rajonu sarakstu, ko šķērso ro-ro pasažieru kuģi, kuri nodrošina regulāru satiksmi uz un no Latvijas ostām, un norāda attiecīgās nozīmīgo viļņu augstumu vērtības šajos rajonos. Informāciju par jūras rajoniem un tajos piemērojamām nozīmīgo viļņu augstuma vērtībām Latvijas Jūras administrācija publicē savā tīmekļa vietnē (www.lja.lv), kā arī attiecīgo informāciju, tās publicēšanas vietni un visus atjauninātos sarakstus un šādas atjaunināšanas iemeslus paziņo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direktīvas Nr. 2023/946 1. panta 5. punktam jūras rajona saraksts ir publicējams publiskā datubāzē. Attiecīgi lūdzam izvērtēt un noteikumu projekta anotācijā skaidrot jūras rajona saraksta publicēšanas veidu, nepieciešamības gadījumā atbilstoši papildinot noteikumu projektu. Kā arī lūdzam izvērtēt un paredzēt informācijas par jūras rajoniem un tajos piemērojamām nozīmīgo viļņu augstuma vērtībām publicēšanu oficiālajā izdevumā "Latvijas Vēstnesis", ņemot vērā, ka attiecīgā gadījumā šai informācijai būs oficiālas publikācijas statuss, ko nenodrošina publikācija iestādes tīmekļvietnē, vai alternatīvi lūdzam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Piemērojot šo noteikumu </w:t>
            </w:r>
            <w:r w:rsidR="00000000" w:rsidRPr="00000000" w:rsidDel="00000000">
              <w:rPr>
                <w:rtl w:val="0"/>
              </w:rPr>
              <w:t xml:space="preserve">1.</w:t>
            </w:r>
            <w:r w:rsidR="00000000" w:rsidRPr="00000000" w:rsidDel="00000000">
              <w:rPr>
                <w:rtl w:val="0"/>
              </w:rPr>
              <w:t xml:space="preserve">pielikuma A iedaļā noteiktās prasības, Kuģošanas drošības inspekcija vai klasifikācijas sabiedrība ņem vērā šo noteikumu </w:t>
            </w:r>
            <w:r w:rsidR="00000000" w:rsidRPr="00000000" w:rsidDel="00000000">
              <w:rPr>
                <w:rtl w:val="0"/>
              </w:rPr>
              <w:t xml:space="preserve">2.</w:t>
            </w:r>
            <w:r w:rsidR="00000000" w:rsidRPr="00000000" w:rsidDel="00000000">
              <w:rPr>
                <w:rtl w:val="0"/>
              </w:rPr>
              <w:t xml:space="preserve">pielikumā noteiktās vadlīnijas, ciktāl tas ir iespējams un samērojams ar attiecīgā jauna ro-ro pasažieru kuģa konstrukciju.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kādēļ noteikumu 927 10. punktā ietvertais nosacījums nav attiecināms uz esošiem ro-ro pasažieru kuģiem, nepieciesamības gadījumā salāgojot minēto punktu ar noteikumu projekta 2. pielikuma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Kuģa atbilstību novērtē un šo noteikumu </w:t>
            </w:r>
            <w:r w:rsidR="00000000" w:rsidRPr="00000000" w:rsidDel="00000000">
              <w:rPr>
                <w:rtl w:val="0"/>
              </w:rPr>
              <w:t xml:space="preserve">12.</w:t>
            </w:r>
            <w:r w:rsidR="00000000" w:rsidRPr="00000000" w:rsidDel="00000000">
              <w:rPr>
                <w:rtl w:val="0"/>
              </w:rPr>
              <w:t xml:space="preserve">punktā noteikto apliecību izsniedz saskaņā ar šo noteikumu </w:t>
            </w:r>
            <w:r w:rsidR="00000000" w:rsidRPr="00000000" w:rsidDel="00000000">
              <w:rPr>
                <w:rtl w:val="0"/>
              </w:rPr>
              <w:t xml:space="preserve">1.</w:t>
            </w:r>
            <w:r w:rsidR="00000000" w:rsidRPr="00000000" w:rsidDel="00000000">
              <w:rPr>
                <w:rtl w:val="0"/>
              </w:rPr>
              <w:t xml:space="preserve">pielikuma 2.nodaļu.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1. pielikuma 2. nodaļā pirmšķietami nav norādīta apliecību izsniegšanas kārtība vai kritēriji, tādēļ lūdzam izvērtēt un precizēt noteikumu projekta 13. punktu, nodrošinot precīzu atsauci uz šo noteikumu normām, vai 1. pielikuma 2.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 darbojoties ostas valsts statusā, atzīst citu Eiropas Savienības dalībvalstu sertifikātus, kas izsniegti saskaņā ar Eiropas Parlamenta un Padomes 2003.gada 14.aprīļa Direktīvu (EK) Nr.2003/25 par īpašām stabilitātes prasībām ro-ro pasažieru kuģiem, kā arī trešo valstu sertifikātus, kas izsniegti saskaņā ar Stokholmas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tieši neatsaucoties uz attiecīgās direktīvas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 darbojoties ostas valsts statusā, atzīst citu Eiropas Savienības dalībvalstu sertifikātus, kas izsniegti saskaņā ar tās normatīvajiem aktiem, ar kuriem pārņemtas Eiropas Parlamenta un Padomes 2003.gada 14.aprīļa Direktīvas (EK) Nr.2003/25 par īpašām stabilitātes prasībām ro-ro pasažieru kuģiem, kā arī trešo valstu sertifikātus, kas izsniegti saskaņā ar Stokholmas līgumu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sabiedrība, kas nodrošina regulārus reisus visu gadu, vēlas uz kādu īsāku laikposmu šīs satiksmes nodrošināšanā iesaistīt papildu ro-ro pasažieru kuģus, tā informē Latvijas Jūras administrāciju un ostas valsts vai valstu kompetentās iestādes ne vēlāk kā mēnesi pirms minēto papildu kuģu iesaistīšanas attiecīgajos reisos.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noteikumu Nr. 927 VI nodaļā "Sezonas un īstermiņa pārvadājumi" paredzētajos gadījumos Latvijas Jūras administrācijai jāsniedz atļauja pārvadājumu veikšanai. Nepieciešamības gadījumā tiesiskās noteiktības nolūkā lūdzam atbilstoši papildināt noteikumu projektu ar attiecīgu regulējumu, ievērojot arī direktīvas Nr. 2003/25/EK (konsolidētās versijas) 9. panta 5. punktā minēto par kompetentās iestādes piekrišanas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sabiedrība, kas nodrošina regulārus reisus visu gadu, vēlas uz kādu īsāku laikposmu šīs satiksmes nodrošināšanā iesaistīt papildu ro-ro pasažieru kuģus, tā informē Latvijas Jūras administrāciju un ostas valsts vai valstu kompetentās iestādes ne vēlāk kā mēnesi pirms minēto papildu kuģu iesaistīšanas attiecīgajos reisos.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"regulārus reisus" ar vārdiem "regulāru satiksmi", ievērojot direktīvas Nr. 2023/946 1. panta 9. punktā noteikto. Alternatīvi skaidrot noteikumu projekta anotācijā, kā, konkrētajā gadījumā atsaucoties uz reisiem, nevis satiksmi, pēc būtības un mērķa tiek pārņemta attiecīgā minētās direktīvas prasība. Līdzīgi lūdzam precizēt noteikumu Nr. 927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šo noteikumu </w:t>
            </w:r>
            <w:r w:rsidR="00000000" w:rsidRPr="00000000" w:rsidDel="00000000">
              <w:rPr>
                <w:rtl w:val="0"/>
              </w:rPr>
              <w:t xml:space="preserve">17.</w:t>
            </w:r>
            <w:r w:rsidR="00000000" w:rsidRPr="00000000" w:rsidDel="00000000">
              <w:rPr>
                <w:rtl w:val="0"/>
              </w:rPr>
              <w:t xml:space="preserve">punktā minētos pārvadājumus veic laikā, kad nozīmīgo viļņu augstums ir zemāks nekā šim jūras rajonam noteiktā nozīmīgo viļņu augstuma vērtība, ūdens līmeņa augstuma noteikšanai uz klāja izmanto to nozīmīgo viļņu augstuma vērtību, kas piemērojama šim īsākajam laikposmam, saskaņā ar Latvijas Republikā spēkā esošajiem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vai nozīmīgo viļņu augstuma vērtību nosaka Latvijas Republikā spēkā esošā starptautiskā līgumā vai to nosaka Latvijas Jūras administrācija, vienojoties ar valstīm, kuru ostas ir iekļautas kuģa maršrutā. Nepieciešamības gadījumā lūdzam atbilstoši salāgot noteikumu Nr. 927 18. punktu u.c. minēto noteikumu pamatteksta vienības ar I pielikumā noteikto. Papildus lūdzam anotācijā arī skaidrot, vai iepriekš minētie starptautiskie līgumi jau ir stājušies spēkā, attiecīgā gadījumā anotācijā minot konkrētus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šo noteikumu </w:t>
            </w:r>
            <w:r w:rsidR="00000000" w:rsidRPr="00000000" w:rsidDel="00000000">
              <w:rPr>
                <w:rtl w:val="0"/>
              </w:rPr>
              <w:t xml:space="preserve">17.</w:t>
            </w:r>
            <w:r w:rsidR="00000000" w:rsidRPr="00000000" w:rsidDel="00000000">
              <w:rPr>
                <w:rtl w:val="0"/>
              </w:rPr>
              <w:t xml:space="preserve">punktā minētos pārvadājumus veic laikā, kad nozīmīgo viļņu augstums ir zemāks nekā šim jūras rajonam noteiktā nozīmīgo viļņu augstuma vērtība, ūdens līmeņa augstuma noteikšanai uz klāja izmanto to nozīmīgo viļņu augstuma vērtību, kas piemērojama šim īsākajam laikposmam, saskaņā ar Latvijas Republikā spēkā esošajiem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25. punktu, tostarp šajā punktā atsaucoties, ne vien uz noteikumu Nr. 927 17. punktu, bet arī 16. punktu vai alternatīvi lūdzam sniegt pamatotu skaidrojumu par minētā noteikumu projekta punkta atbilstību direktīvas Nr.2003/25 (konsolidētās) versijas 9. panta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Esošie ro-ro pasažieru kuģi, kas veic regulāru satiksmi uz Eiropas Savienības dalībvalsts ostu vai no tās līdz 2024.gada 5.decembrim, turpina atbilst īpašajām stabilitātes prasībām, kas noteiktas Eiropas Parlamenta un Padomes 2003.gada 14.aprīļa Direktīvas (EK) Nr.2003/25 par īpašām stabilitātes prasībām ro-ro pasažieru kuģiem I pielikuma redakcijā, kas tika piemērota pirms Eiropas Parlamenta un Padomes Direktīvas (ES) 2023/946 ar ko Direktīvu 2003/25/EK groza attiecībā uz uzlabotu stabilitātes prasību iekļaušanu un minētās direktīvas saskaņošanu ar Starptautiskās Jūrniecības organizācijas noteiktajām stabilitātes prasībām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ņemot vērā, ka direktīvas nav tieši piemērojamas, bet tās ir jāpārņem dalībvalstu tiesību aktos, sasniedzot direktīvā paredzēto mērķi, lūdzam svītrot noteikumu projektā ietvertās atsauces (izņemot informatīvo atsauci) uz direktīvām (piemēram, 27., 32. u.c. minētās atsauces), tā vietā atsaucoties uz normatīvajiem aktiem (to jomu), ar kuriem minētās direktīvas ir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sabiedrības ar ierobežotu atbildību "Latvijas Jūras administrācija" (turpmāk – Latvijas Jūras administrācija) Kuģošanas drošības inspekcija (turpmāk - Kuģošanas drošības inspekcija) vai atzīta kuģu klasifikācijas sabiedrība, ar kuru Latvijas Jūras administrācija ir noslēgusi pilnvarojuma līgumu (turpmāk – klasifikācijas sabiedrība), pārbauda, lai ro-ro pasažieru kuģi (neatkarīgi no to karoga valsts) pirms tos var izmantot regulārā satiksmē reisos no Latvijas ostām vai uz tām pilnībā atbilstu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 punktu papildināt pēc vārda "prasībām" ar vārdiem "saskaņā ar normatīvajiem aktiem par ro-ro pasažieru kuģu un ātrgaitas pasažieru kuģu drošību" atbilstoši direktīvas Nr. 2023/946 1. panta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10. īpašās stabilitātes prasības - šo noteikumu </w:t>
            </w:r>
            <w:r w:rsidR="00000000" w:rsidRPr="00000000" w:rsidDel="00000000">
              <w:rPr>
                <w:rtl w:val="0"/>
              </w:rPr>
              <w:t xml:space="preserve">IV</w:t>
            </w:r>
            <w:r w:rsidR="00000000" w:rsidRPr="00000000" w:rsidDel="00000000">
              <w:rPr>
                <w:rtl w:val="0"/>
              </w:rPr>
              <w:t xml:space="preserve">. nodaļā minētās stabilitātes prasības, ja tās tiek lietotas kā kopīgs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Nr. 927 2.</w:t>
            </w:r>
            <w:r w:rsidR="00000000" w:rsidRPr="00000000" w:rsidDel="00000000">
              <w:rPr>
                <w:vertAlign w:val="superscript"/>
                <w:rtl w:val="0"/>
              </w:rPr>
              <w:t xml:space="preserve">1</w:t>
            </w:r>
            <w:r w:rsidR="00000000" w:rsidRPr="00000000" w:rsidDel="00000000">
              <w:rPr>
                <w:rtl w:val="0"/>
              </w:rPr>
              <w:t xml:space="preserve">10. apakšpunktu, jo attiecīgo terminu nav nepieciešams skaidrot, bet var tiešā veidā atsaukties uz šo noteikumu IV. nodaļā minētajām stabilitātes prasībām. Alternatīvi lūdzam pamatot noteikumu projekta anotācijā, kādēļ nepieciešams skaidrot minēto terminu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24-TA-1389</w:t>
    </w:r>
    <w:r>
      <w:br/>
    </w:r>
    <w:r w:rsidR="00000000" w:rsidRPr="00000000" w:rsidDel="00000000">
      <w:rPr>
        <w:rtl w:val="0"/>
      </w:rPr>
      <w:t xml:space="preserve">Izdrukāts 05.08.2024.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24-TA-1389</w:t>
    </w:r>
    <w:r>
      <w:br/>
    </w:r>
    <w:r w:rsidR="00000000" w:rsidRPr="00000000" w:rsidDel="00000000">
      <w:rPr>
        <w:rtl w:val="0"/>
      </w:rPr>
      <w:t xml:space="preserve">Izdrukāts 05.08.2024.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Atzinumi_24-TA-1389.docx</dc:title>
</cp:coreProperties>
</file>

<file path=docProps/custom.xml><?xml version="1.0" encoding="utf-8"?>
<Properties xmlns="http://schemas.openxmlformats.org/officeDocument/2006/custom-properties" xmlns:vt="http://schemas.openxmlformats.org/officeDocument/2006/docPropsVTypes"/>
</file>