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Cilvēku tirdzniecības upuru atpazīšanas un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sagatavotā likumprojekta anotācijā ir norādīts, ka papildus nacionālā koordinatora funkcijām likumprojektā noteikti divi jauni uzdevumi, lūdzam likumprojekta anotācijas 3. sadaļā norādīt, ka likumprojektā noteiktās normas tiks īstenotas iesaistītajām institūcijām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07.04.2026.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07.04.2026.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Atzinumi_25-TA-3102.docx</dc:title>
</cp:coreProperties>
</file>

<file path=docProps/custom.xml><?xml version="1.0" encoding="utf-8"?>
<Properties xmlns="http://schemas.openxmlformats.org/officeDocument/2006/custom-properties" xmlns:vt="http://schemas.openxmlformats.org/officeDocument/2006/docPropsVTypes"/>
</file>