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70098" w14:textId="77777777" w:rsidR="00564014" w:rsidRDefault="00564014" w:rsidP="00564014">
      <w:pPr>
        <w:rPr>
          <w:rFonts w:ascii="Verdana" w:hAnsi="Verdana"/>
          <w:sz w:val="20"/>
          <w:szCs w:val="20"/>
        </w:rPr>
      </w:pPr>
    </w:p>
    <w:p w14:paraId="2B3E86AF" w14:textId="77777777" w:rsidR="00564014" w:rsidRDefault="00564014" w:rsidP="00564014">
      <w:pPr>
        <w:rPr>
          <w:rFonts w:ascii="Verdana" w:hAnsi="Verdana"/>
          <w:sz w:val="20"/>
          <w:szCs w:val="20"/>
        </w:rPr>
      </w:pPr>
    </w:p>
    <w:p w14:paraId="18C1BBA5" w14:textId="77777777" w:rsidR="00564014" w:rsidRDefault="00564014" w:rsidP="00564014">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Ilze Āboliņa &lt;ilze.abolina@fm.gov.lv&gt;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June 10, 2022 5:25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Ilze Sevele &lt;ilze.sevele@fm.gov.lv&gt;; Dana Aleksandrova &lt;dana.aleksandrova@fm.gov.lv&gt;; Agija Leitāne-Šķēle &lt;agija.leitane-skele@fm.gov.lv&gt;; Iveta Cirse &lt;iveta.cirse@fm.gov.lv&gt;; Anželika Osipova &lt;anzelika.osipova@fm.gov.lv&gt;; 'izolde.merhele@ast.lv' &lt;izolde.merhele@ast.lv&gt;; Andris Lazarevs &lt;Andris.Lazarevs@em.gov.lv&gt;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FM atzinums par (21-TA-110)" Noteikumi par publisko būvdarbu līgumos obligāti iekļaujamiem noteikumiem un to saturu"</w:t>
      </w:r>
    </w:p>
    <w:p w14:paraId="5B487B23" w14:textId="77777777" w:rsidR="00564014" w:rsidRDefault="00564014" w:rsidP="00564014"/>
    <w:p w14:paraId="06A8D186" w14:textId="77777777" w:rsidR="00564014" w:rsidRDefault="00564014" w:rsidP="00564014">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157AB30F" w14:textId="77777777" w:rsidR="00564014" w:rsidRDefault="00564014" w:rsidP="00564014">
      <w:pPr>
        <w:rPr>
          <w:rFonts w:ascii="Times New Roman" w:hAnsi="Times New Roman" w:cs="Times New Roman"/>
          <w:b/>
          <w:bCs/>
          <w:sz w:val="24"/>
          <w:szCs w:val="24"/>
        </w:rPr>
      </w:pPr>
      <w:r>
        <w:rPr>
          <w:rFonts w:ascii="Times New Roman" w:hAnsi="Times New Roman" w:cs="Times New Roman"/>
          <w:b/>
          <w:bCs/>
          <w:sz w:val="24"/>
          <w:szCs w:val="24"/>
        </w:rPr>
        <w:t>10.06.2022.         Nr.10.1-5/7/283</w:t>
      </w:r>
    </w:p>
    <w:p w14:paraId="1F3414D4" w14:textId="77777777" w:rsidR="00564014" w:rsidRDefault="00564014" w:rsidP="00564014">
      <w:pPr>
        <w:rPr>
          <w:rFonts w:ascii="Times New Roman" w:hAnsi="Times New Roman" w:cs="Times New Roman"/>
          <w:sz w:val="24"/>
          <w:szCs w:val="24"/>
        </w:rPr>
      </w:pPr>
    </w:p>
    <w:p w14:paraId="2C0FBC58" w14:textId="77777777" w:rsidR="00564014" w:rsidRDefault="00564014" w:rsidP="00564014">
      <w:pPr>
        <w:rPr>
          <w:rFonts w:ascii="Times New Roman" w:hAnsi="Times New Roman" w:cs="Times New Roman"/>
          <w:sz w:val="24"/>
          <w:szCs w:val="24"/>
        </w:rPr>
      </w:pPr>
      <w:r>
        <w:rPr>
          <w:rFonts w:ascii="Times New Roman" w:hAnsi="Times New Roman" w:cs="Times New Roman"/>
          <w:sz w:val="24"/>
          <w:szCs w:val="24"/>
        </w:rPr>
        <w:t>Labdien,</w:t>
      </w:r>
    </w:p>
    <w:p w14:paraId="72B93FB3" w14:textId="77777777" w:rsidR="00564014" w:rsidRDefault="00564014" w:rsidP="00564014"/>
    <w:p w14:paraId="47CDBE06" w14:textId="77777777" w:rsidR="00564014" w:rsidRDefault="00564014" w:rsidP="00564014">
      <w:pPr>
        <w:rPr>
          <w:rFonts w:ascii="Times New Roman" w:hAnsi="Times New Roman" w:cs="Times New Roman"/>
          <w:sz w:val="24"/>
          <w:szCs w:val="24"/>
        </w:rPr>
      </w:pPr>
    </w:p>
    <w:p w14:paraId="3AFFB9BB" w14:textId="77777777" w:rsidR="00564014" w:rsidRDefault="00564014" w:rsidP="00564014">
      <w:pPr>
        <w:rPr>
          <w:rFonts w:ascii="Times New Roman" w:hAnsi="Times New Roman" w:cs="Times New Roman"/>
          <w:sz w:val="24"/>
          <w:szCs w:val="24"/>
        </w:rPr>
      </w:pPr>
      <w:r>
        <w:rPr>
          <w:rFonts w:ascii="Times New Roman" w:hAnsi="Times New Roman" w:cs="Times New Roman"/>
          <w:sz w:val="24"/>
          <w:szCs w:val="24"/>
        </w:rPr>
        <w:t>Finanšu ministrija sadarbībā ar AS ”Augstsprieguma tīkls” (turpmāk - AST) atbilstoši kompetencei ir izskatījusi Ekonomikas ministrijas precizēto noteikumu projektu "Noteikumi par publisko būvdarbu līgumos obligāti iekļaujamiem noteikumiem un to saturu" (turpmāk – MK noteikumu projekts) (21-TA-110), 10.06.2022. atsūtīto precizēto anotāciju un izsaka šādus priekšlikumus.</w:t>
      </w:r>
    </w:p>
    <w:p w14:paraId="7F8514B2" w14:textId="77777777" w:rsidR="00564014" w:rsidRDefault="00564014" w:rsidP="00564014">
      <w:pPr>
        <w:rPr>
          <w:rFonts w:ascii="Times New Roman" w:hAnsi="Times New Roman" w:cs="Times New Roman"/>
          <w:sz w:val="24"/>
          <w:szCs w:val="24"/>
        </w:rPr>
      </w:pPr>
    </w:p>
    <w:p w14:paraId="2F77E1BB" w14:textId="77777777" w:rsidR="00564014" w:rsidRDefault="00564014" w:rsidP="00564014">
      <w:pPr>
        <w:pStyle w:val="ListParagraph"/>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MK noteikumu projekta 23. punktu noteikts, ka gadījumā, ja garantijas saistību nodrošinājums ir samaksas ieturējuma veidā, būvdarbu veicējs minimālās garantijas termiņa trešā gada pirmajā mēnesī iesniedz pasūtītājam līguma noteikumiem atbilstošu rēķinu par būvdarbu veicējam ieturēto garantijas saistību nodrošinājuma atmaksu, kas pārsniedz 40% (četrdesmit procentus) no ieturējuma apmēra.</w:t>
      </w:r>
    </w:p>
    <w:p w14:paraId="251BA085" w14:textId="77777777" w:rsidR="00564014" w:rsidRDefault="00564014" w:rsidP="00564014">
      <w:pPr>
        <w:pStyle w:val="ListParagraph"/>
        <w:spacing w:after="0"/>
        <w:ind w:left="0" w:firstLine="720"/>
        <w:jc w:val="both"/>
        <w:rPr>
          <w:rFonts w:ascii="Times New Roman" w:hAnsi="Times New Roman" w:cs="Times New Roman"/>
          <w:sz w:val="24"/>
          <w:szCs w:val="24"/>
        </w:rPr>
      </w:pPr>
      <w:r>
        <w:rPr>
          <w:rFonts w:ascii="Times New Roman" w:hAnsi="Times New Roman" w:cs="Times New Roman"/>
          <w:sz w:val="24"/>
          <w:szCs w:val="24"/>
        </w:rPr>
        <w:t>Savukārt, atbilstoši MK noteikumu projekta 27.punktam garantijas saistību nodrošinājums trešā gada pirmajā mēnesī uz atlikušo minimālās garantijas termiņu samazināms, nosakot to līdz 2% no līgumcenas.</w:t>
      </w:r>
    </w:p>
    <w:p w14:paraId="2FE9E323" w14:textId="77777777" w:rsidR="00564014" w:rsidRDefault="00564014" w:rsidP="00564014">
      <w:pPr>
        <w:pStyle w:val="ListParagraph"/>
        <w:spacing w:after="0"/>
        <w:ind w:left="0" w:firstLine="720"/>
        <w:jc w:val="both"/>
        <w:rPr>
          <w:rFonts w:ascii="Times New Roman" w:hAnsi="Times New Roman" w:cs="Times New Roman"/>
          <w:sz w:val="24"/>
          <w:szCs w:val="24"/>
        </w:rPr>
      </w:pPr>
      <w:r>
        <w:rPr>
          <w:rFonts w:ascii="Times New Roman" w:hAnsi="Times New Roman" w:cs="Times New Roman"/>
          <w:sz w:val="24"/>
          <w:szCs w:val="24"/>
        </w:rPr>
        <w:t>AST uzskata, ka arī MK noteikumu projekta 23.punktā minētais regulējums piemērojams tādā apmērā, lai kopējais garantijas nodrošinājuma apjoms arī ieturējuma gadījumā, sākot ar garantijas trešo mēnesi nepārsniegtu 2% no līgumcenas. Minētais iebildums pamatojams ar apsvērumu, ka mazāks garantijas apmērs nenosegs visas garantijas izpildei nepieciešamās saistības. Bez tam garantijas saistību nodrošinājuma samazināšana radīs situāciju, ka uzņēmēji prioritāri kā garantijas nodrošinājumu izvēlēsies ieturējumu (ja šādu iespēju iepirkuma dokumentācijā būs paredzējis pasūtītājs).</w:t>
      </w:r>
    </w:p>
    <w:p w14:paraId="3ABB80DE" w14:textId="77777777" w:rsidR="00564014" w:rsidRDefault="00564014" w:rsidP="00564014">
      <w:pPr>
        <w:pStyle w:val="ListParagraph"/>
        <w:spacing w:after="0"/>
        <w:ind w:left="0"/>
        <w:jc w:val="both"/>
        <w:rPr>
          <w:rFonts w:ascii="Times New Roman" w:hAnsi="Times New Roman" w:cs="Times New Roman"/>
          <w:sz w:val="24"/>
          <w:szCs w:val="24"/>
        </w:rPr>
      </w:pPr>
    </w:p>
    <w:p w14:paraId="464BA59B" w14:textId="77777777" w:rsidR="00564014" w:rsidRDefault="00564014" w:rsidP="00564014">
      <w:pPr>
        <w:pStyle w:val="ListParagraph"/>
        <w:numPr>
          <w:ilvl w:val="0"/>
          <w:numId w:val="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vēršam uzmanību uz nepieciešamību veikt izmaiņas anotācijā atbilstoši veiktajām izmaiņām Noteikumos (izmaiņas veicamas anotācijas 21. lpp. attiecībā uz noteikumu piemērošanas termiņu un izņēmumiem).</w:t>
      </w:r>
    </w:p>
    <w:p w14:paraId="5F1D06CB" w14:textId="77777777" w:rsidR="00564014" w:rsidRDefault="00564014" w:rsidP="00564014"/>
    <w:p w14:paraId="779A91A1" w14:textId="77777777" w:rsidR="00564014" w:rsidRDefault="00564014" w:rsidP="00564014"/>
    <w:p w14:paraId="7FD1BF4D" w14:textId="77777777" w:rsidR="00564014" w:rsidRDefault="00564014" w:rsidP="00564014"/>
    <w:p w14:paraId="2CA4E9E1" w14:textId="5E4760F9" w:rsidR="00564014" w:rsidRDefault="00564014" w:rsidP="00564014">
      <w:pPr>
        <w:rPr>
          <w:rFonts w:ascii="Franklin Gothic Book" w:hAnsi="Franklin Gothic Book"/>
          <w:b/>
          <w:bCs/>
          <w:sz w:val="20"/>
          <w:szCs w:val="20"/>
        </w:rPr>
      </w:pPr>
      <w:r>
        <w:rPr>
          <w:rFonts w:ascii="Franklin Gothic Medium" w:hAnsi="Franklin Gothic Medium"/>
          <w:b/>
          <w:bCs/>
          <w:color w:val="1F497D"/>
          <w:sz w:val="20"/>
          <w:szCs w:val="20"/>
        </w:rPr>
        <w:t>Ilze Sevele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ilze.sevele@fm.gov.lv</w:t>
        </w:r>
      </w:hyperlink>
      <w:r>
        <w:rPr>
          <w:rFonts w:ascii="Franklin Gothic Book" w:hAnsi="Franklin Gothic Book"/>
          <w:color w:val="1F497D"/>
          <w:sz w:val="16"/>
          <w:szCs w:val="16"/>
        </w:rPr>
        <w:br/>
      </w:r>
      <w:r>
        <w:rPr>
          <w:rFonts w:ascii="Franklin Gothic Book" w:hAnsi="Franklin Gothic Book"/>
          <w:color w:val="767573"/>
          <w:sz w:val="16"/>
          <w:szCs w:val="16"/>
        </w:rPr>
        <w:t>Tālr.: 25738721</w:t>
      </w:r>
      <w:r>
        <w:rPr>
          <w:rFonts w:ascii="Franklin Gothic Book" w:hAnsi="Franklin Gothic Book"/>
          <w:color w:val="767573"/>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6"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7"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716928F8" wp14:editId="05065068">
            <wp:extent cx="714375" cy="723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6A55A867" wp14:editId="40C07D54">
            <wp:extent cx="752475" cy="438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438150"/>
                    </a:xfrm>
                    <a:prstGeom prst="rect">
                      <a:avLst/>
                    </a:prstGeom>
                    <a:noFill/>
                    <a:ln>
                      <a:noFill/>
                    </a:ln>
                  </pic:spPr>
                </pic:pic>
              </a:graphicData>
            </a:graphic>
          </wp:inline>
        </w:drawing>
      </w:r>
    </w:p>
    <w:p w14:paraId="4DAD2EC9" w14:textId="77777777" w:rsidR="00564014" w:rsidRDefault="00564014" w:rsidP="00564014">
      <w:pPr>
        <w:spacing w:after="240"/>
      </w:pPr>
    </w:p>
    <w:p w14:paraId="07E8AAE4" w14:textId="77777777" w:rsidR="00564014" w:rsidRDefault="00564014" w:rsidP="00564014">
      <w:pPr>
        <w:rPr>
          <w:rFonts w:ascii="Arial" w:hAnsi="Arial" w:cs="Arial"/>
          <w:color w:val="000000"/>
          <w:sz w:val="24"/>
          <w:szCs w:val="24"/>
          <w:lang w:eastAsia="lv-LV"/>
        </w:rPr>
      </w:pPr>
      <w:r>
        <w:rPr>
          <w:rFonts w:ascii="Arial" w:hAnsi="Arial" w:cs="Arial"/>
          <w:b/>
          <w:bCs/>
          <w:color w:val="000000"/>
          <w:sz w:val="24"/>
          <w:szCs w:val="24"/>
        </w:rPr>
        <w:t>Izolde Marhele</w:t>
      </w:r>
    </w:p>
    <w:p w14:paraId="03F0A674" w14:textId="77777777" w:rsidR="00564014" w:rsidRDefault="00564014" w:rsidP="00564014">
      <w:pPr>
        <w:rPr>
          <w:rFonts w:ascii="Arial" w:hAnsi="Arial" w:cs="Arial"/>
          <w:color w:val="000000"/>
          <w:sz w:val="7"/>
          <w:szCs w:val="7"/>
        </w:rPr>
      </w:pPr>
      <w:r>
        <w:rPr>
          <w:rFonts w:ascii="Arial" w:hAnsi="Arial" w:cs="Arial"/>
          <w:color w:val="000000"/>
          <w:sz w:val="7"/>
          <w:szCs w:val="7"/>
        </w:rPr>
        <w:t> </w:t>
      </w:r>
    </w:p>
    <w:p w14:paraId="422E5767" w14:textId="77777777" w:rsidR="00564014" w:rsidRDefault="00564014" w:rsidP="00564014">
      <w:pPr>
        <w:rPr>
          <w:rFonts w:ascii="Arial" w:hAnsi="Arial" w:cs="Arial"/>
          <w:color w:val="000000"/>
          <w:sz w:val="20"/>
          <w:szCs w:val="20"/>
        </w:rPr>
      </w:pPr>
      <w:r>
        <w:rPr>
          <w:rFonts w:ascii="Arial" w:hAnsi="Arial" w:cs="Arial"/>
          <w:color w:val="000000"/>
          <w:sz w:val="20"/>
          <w:szCs w:val="20"/>
        </w:rPr>
        <w:t>Juridiskā nodrošinājuma daļas vadītāja</w:t>
      </w:r>
    </w:p>
    <w:p w14:paraId="06DBEB27" w14:textId="77777777" w:rsidR="00564014" w:rsidRDefault="00564014" w:rsidP="00564014">
      <w:pPr>
        <w:rPr>
          <w:rFonts w:ascii="Arial" w:hAnsi="Arial" w:cs="Arial"/>
          <w:color w:val="000000"/>
          <w:sz w:val="20"/>
          <w:szCs w:val="20"/>
        </w:rPr>
      </w:pPr>
      <w:r>
        <w:rPr>
          <w:rFonts w:ascii="Arial" w:hAnsi="Arial" w:cs="Arial"/>
          <w:color w:val="000000"/>
          <w:sz w:val="20"/>
          <w:szCs w:val="20"/>
        </w:rPr>
        <w:t>T +371 6772 5355 / M +371 2866 5663 / </w:t>
      </w:r>
      <w:hyperlink r:id="rId10" w:history="1">
        <w:r>
          <w:rPr>
            <w:rStyle w:val="Hyperlink"/>
            <w:rFonts w:ascii="Arial" w:hAnsi="Arial" w:cs="Arial"/>
            <w:color w:val="000000"/>
            <w:sz w:val="20"/>
            <w:szCs w:val="20"/>
            <w:u w:val="none"/>
          </w:rPr>
          <w:t>izolde.marhele@ast.lv</w:t>
        </w:r>
      </w:hyperlink>
    </w:p>
    <w:p w14:paraId="3DD8FDC0" w14:textId="77777777" w:rsidR="00564014" w:rsidRDefault="00564014" w:rsidP="00564014">
      <w:pPr>
        <w:rPr>
          <w:rFonts w:ascii="Arial" w:hAnsi="Arial" w:cs="Arial"/>
          <w:color w:val="000000"/>
          <w:sz w:val="11"/>
          <w:szCs w:val="11"/>
        </w:rPr>
      </w:pPr>
      <w:r>
        <w:rPr>
          <w:rFonts w:ascii="Arial" w:hAnsi="Arial" w:cs="Arial"/>
          <w:color w:val="000000"/>
          <w:sz w:val="11"/>
          <w:szCs w:val="11"/>
        </w:rPr>
        <w:t> </w:t>
      </w:r>
    </w:p>
    <w:tbl>
      <w:tblPr>
        <w:tblW w:w="0" w:type="auto"/>
        <w:tblCellMar>
          <w:left w:w="0" w:type="dxa"/>
          <w:right w:w="0" w:type="dxa"/>
        </w:tblCellMar>
        <w:tblLook w:val="04A0" w:firstRow="1" w:lastRow="0" w:firstColumn="1" w:lastColumn="0" w:noHBand="0" w:noVBand="1"/>
      </w:tblPr>
      <w:tblGrid>
        <w:gridCol w:w="1500"/>
        <w:gridCol w:w="270"/>
        <w:gridCol w:w="4500"/>
      </w:tblGrid>
      <w:tr w:rsidR="00564014" w14:paraId="1E2AC980" w14:textId="77777777" w:rsidTr="00564014">
        <w:tc>
          <w:tcPr>
            <w:tcW w:w="1500" w:type="dxa"/>
            <w:vMerge w:val="restart"/>
            <w:vAlign w:val="center"/>
            <w:hideMark/>
          </w:tcPr>
          <w:p w14:paraId="488B8CA3" w14:textId="4C2271EE" w:rsidR="00564014" w:rsidRDefault="00564014">
            <w:pPr>
              <w:rPr>
                <w:rFonts w:ascii="Arial" w:hAnsi="Arial" w:cs="Arial"/>
                <w:color w:val="000000"/>
              </w:rPr>
            </w:pPr>
            <w:r>
              <w:rPr>
                <w:rFonts w:ascii="Arial" w:hAnsi="Arial" w:cs="Arial"/>
                <w:noProof/>
                <w:color w:val="000000"/>
              </w:rPr>
              <w:drawing>
                <wp:inline distT="0" distB="0" distL="0" distR="0" wp14:anchorId="732A706D" wp14:editId="10B6B3F5">
                  <wp:extent cx="781050" cy="333375"/>
                  <wp:effectExtent l="0" t="0" r="0" b="9525"/>
                  <wp:docPr id="5" name="Picture 5" descr="AST logo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T logotip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1050" cy="333375"/>
                          </a:xfrm>
                          <a:prstGeom prst="rect">
                            <a:avLst/>
                          </a:prstGeom>
                          <a:noFill/>
                          <a:ln>
                            <a:noFill/>
                          </a:ln>
                        </pic:spPr>
                      </pic:pic>
                    </a:graphicData>
                  </a:graphic>
                </wp:inline>
              </w:drawing>
            </w:r>
          </w:p>
        </w:tc>
        <w:tc>
          <w:tcPr>
            <w:tcW w:w="270" w:type="dxa"/>
            <w:vMerge w:val="restart"/>
            <w:vAlign w:val="center"/>
            <w:hideMark/>
          </w:tcPr>
          <w:p w14:paraId="2C9F138C" w14:textId="0982AF3C" w:rsidR="00564014" w:rsidRDefault="00564014">
            <w:pPr>
              <w:rPr>
                <w:rFonts w:ascii="Arial" w:hAnsi="Arial" w:cs="Arial"/>
                <w:color w:val="000000"/>
              </w:rPr>
            </w:pPr>
            <w:r>
              <w:rPr>
                <w:rFonts w:ascii="Arial" w:hAnsi="Arial" w:cs="Arial"/>
                <w:noProof/>
                <w:color w:val="000000"/>
              </w:rPr>
              <w:drawing>
                <wp:inline distT="0" distB="0" distL="0" distR="0" wp14:anchorId="3E27ECD9" wp14:editId="635D3337">
                  <wp:extent cx="9525" cy="676275"/>
                  <wp:effectExtent l="0" t="0" r="28575" b="9525"/>
                  <wp:docPr id="4" name="Picture 4" descr="v.lī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līnij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676275"/>
                          </a:xfrm>
                          <a:prstGeom prst="rect">
                            <a:avLst/>
                          </a:prstGeom>
                          <a:noFill/>
                          <a:ln>
                            <a:noFill/>
                          </a:ln>
                        </pic:spPr>
                      </pic:pic>
                    </a:graphicData>
                  </a:graphic>
                </wp:inline>
              </w:drawing>
            </w:r>
          </w:p>
        </w:tc>
        <w:tc>
          <w:tcPr>
            <w:tcW w:w="4500" w:type="dxa"/>
            <w:tcMar>
              <w:top w:w="15" w:type="dxa"/>
              <w:left w:w="15" w:type="dxa"/>
              <w:bottom w:w="15" w:type="dxa"/>
              <w:right w:w="15" w:type="dxa"/>
            </w:tcMar>
            <w:vAlign w:val="center"/>
            <w:hideMark/>
          </w:tcPr>
          <w:p w14:paraId="6DBD9C87" w14:textId="77777777" w:rsidR="00564014" w:rsidRDefault="00564014">
            <w:pPr>
              <w:rPr>
                <w:rFonts w:ascii="Arial" w:hAnsi="Arial" w:cs="Arial"/>
                <w:color w:val="000000"/>
                <w:sz w:val="18"/>
                <w:szCs w:val="18"/>
              </w:rPr>
            </w:pPr>
            <w:r>
              <w:rPr>
                <w:rFonts w:ascii="Arial" w:hAnsi="Arial" w:cs="Arial"/>
                <w:color w:val="000000"/>
                <w:sz w:val="18"/>
                <w:szCs w:val="18"/>
              </w:rPr>
              <w:t>AS Augstsprieguma tīkls</w:t>
            </w:r>
          </w:p>
        </w:tc>
      </w:tr>
      <w:tr w:rsidR="00564014" w14:paraId="32F0151F" w14:textId="77777777" w:rsidTr="00564014">
        <w:tc>
          <w:tcPr>
            <w:tcW w:w="0" w:type="auto"/>
            <w:vMerge/>
            <w:vAlign w:val="center"/>
            <w:hideMark/>
          </w:tcPr>
          <w:p w14:paraId="6A81010C" w14:textId="77777777" w:rsidR="00564014" w:rsidRDefault="00564014">
            <w:pPr>
              <w:rPr>
                <w:rFonts w:ascii="Arial" w:hAnsi="Arial" w:cs="Arial"/>
                <w:color w:val="000000"/>
              </w:rPr>
            </w:pPr>
          </w:p>
        </w:tc>
        <w:tc>
          <w:tcPr>
            <w:tcW w:w="0" w:type="auto"/>
            <w:vMerge/>
            <w:vAlign w:val="center"/>
            <w:hideMark/>
          </w:tcPr>
          <w:p w14:paraId="7212297C" w14:textId="77777777" w:rsidR="00564014" w:rsidRDefault="00564014">
            <w:pPr>
              <w:rPr>
                <w:rFonts w:ascii="Arial" w:hAnsi="Arial" w:cs="Arial"/>
                <w:color w:val="000000"/>
              </w:rPr>
            </w:pPr>
          </w:p>
        </w:tc>
        <w:tc>
          <w:tcPr>
            <w:tcW w:w="0" w:type="auto"/>
            <w:tcMar>
              <w:top w:w="15" w:type="dxa"/>
              <w:left w:w="15" w:type="dxa"/>
              <w:bottom w:w="15" w:type="dxa"/>
              <w:right w:w="15" w:type="dxa"/>
            </w:tcMar>
            <w:vAlign w:val="center"/>
            <w:hideMark/>
          </w:tcPr>
          <w:p w14:paraId="3DCE6B1D" w14:textId="77777777" w:rsidR="00564014" w:rsidRDefault="00564014">
            <w:pPr>
              <w:rPr>
                <w:rFonts w:ascii="Arial" w:hAnsi="Arial" w:cs="Arial"/>
                <w:color w:val="000000"/>
                <w:sz w:val="18"/>
                <w:szCs w:val="18"/>
              </w:rPr>
            </w:pPr>
            <w:r>
              <w:rPr>
                <w:rFonts w:ascii="Arial" w:hAnsi="Arial" w:cs="Arial"/>
                <w:color w:val="000000"/>
                <w:sz w:val="18"/>
                <w:szCs w:val="18"/>
              </w:rPr>
              <w:t>Dārzciema iela 86, Rīga</w:t>
            </w:r>
          </w:p>
        </w:tc>
      </w:tr>
      <w:tr w:rsidR="00564014" w14:paraId="74BA2EAB" w14:textId="77777777" w:rsidTr="00564014">
        <w:tc>
          <w:tcPr>
            <w:tcW w:w="0" w:type="auto"/>
            <w:vMerge/>
            <w:vAlign w:val="center"/>
            <w:hideMark/>
          </w:tcPr>
          <w:p w14:paraId="3F671B15" w14:textId="77777777" w:rsidR="00564014" w:rsidRDefault="00564014">
            <w:pPr>
              <w:rPr>
                <w:rFonts w:ascii="Arial" w:hAnsi="Arial" w:cs="Arial"/>
                <w:color w:val="000000"/>
              </w:rPr>
            </w:pPr>
          </w:p>
        </w:tc>
        <w:tc>
          <w:tcPr>
            <w:tcW w:w="0" w:type="auto"/>
            <w:vMerge/>
            <w:vAlign w:val="center"/>
            <w:hideMark/>
          </w:tcPr>
          <w:p w14:paraId="7186BFC7" w14:textId="77777777" w:rsidR="00564014" w:rsidRDefault="00564014">
            <w:pPr>
              <w:rPr>
                <w:rFonts w:ascii="Arial" w:hAnsi="Arial" w:cs="Arial"/>
                <w:color w:val="000000"/>
              </w:rPr>
            </w:pPr>
          </w:p>
        </w:tc>
        <w:tc>
          <w:tcPr>
            <w:tcW w:w="0" w:type="auto"/>
            <w:tcMar>
              <w:top w:w="15" w:type="dxa"/>
              <w:left w:w="15" w:type="dxa"/>
              <w:bottom w:w="15" w:type="dxa"/>
              <w:right w:w="15" w:type="dxa"/>
            </w:tcMar>
            <w:vAlign w:val="center"/>
            <w:hideMark/>
          </w:tcPr>
          <w:p w14:paraId="59783C9D" w14:textId="77777777" w:rsidR="00564014" w:rsidRDefault="00564014">
            <w:pPr>
              <w:rPr>
                <w:rFonts w:ascii="Arial" w:hAnsi="Arial" w:cs="Arial"/>
                <w:color w:val="000000"/>
                <w:sz w:val="18"/>
                <w:szCs w:val="18"/>
              </w:rPr>
            </w:pPr>
          </w:p>
        </w:tc>
      </w:tr>
      <w:tr w:rsidR="00564014" w14:paraId="5C021635" w14:textId="77777777" w:rsidTr="00564014">
        <w:tc>
          <w:tcPr>
            <w:tcW w:w="0" w:type="auto"/>
            <w:tcMar>
              <w:top w:w="15" w:type="dxa"/>
              <w:left w:w="15" w:type="dxa"/>
              <w:bottom w:w="15" w:type="dxa"/>
              <w:right w:w="15" w:type="dxa"/>
            </w:tcMar>
            <w:vAlign w:val="center"/>
            <w:hideMark/>
          </w:tcPr>
          <w:p w14:paraId="259D5BF2" w14:textId="77777777" w:rsidR="00564014" w:rsidRDefault="00564014">
            <w:pPr>
              <w:rPr>
                <w:rFonts w:ascii="Arial" w:hAnsi="Arial" w:cs="Arial"/>
                <w:color w:val="000000"/>
                <w:sz w:val="13"/>
                <w:szCs w:val="13"/>
              </w:rPr>
            </w:pPr>
            <w:r>
              <w:rPr>
                <w:rFonts w:ascii="Arial" w:hAnsi="Arial" w:cs="Arial"/>
                <w:color w:val="000000"/>
                <w:sz w:val="13"/>
                <w:szCs w:val="13"/>
              </w:rPr>
              <w:t>GODĪGI. GUDRI.</w:t>
            </w:r>
            <w:r>
              <w:rPr>
                <w:rFonts w:ascii="Arial" w:hAnsi="Arial" w:cs="Arial"/>
                <w:color w:val="000000"/>
                <w:sz w:val="13"/>
                <w:szCs w:val="13"/>
              </w:rPr>
              <w:br/>
              <w:t>ATBILDĪGI. KOPĪGI.</w:t>
            </w:r>
          </w:p>
        </w:tc>
        <w:tc>
          <w:tcPr>
            <w:tcW w:w="0" w:type="auto"/>
            <w:vMerge/>
            <w:vAlign w:val="center"/>
            <w:hideMark/>
          </w:tcPr>
          <w:p w14:paraId="20DD1647" w14:textId="77777777" w:rsidR="00564014" w:rsidRDefault="00564014">
            <w:pPr>
              <w:rPr>
                <w:rFonts w:ascii="Arial" w:hAnsi="Arial" w:cs="Arial"/>
                <w:color w:val="000000"/>
              </w:rPr>
            </w:pPr>
          </w:p>
        </w:tc>
        <w:tc>
          <w:tcPr>
            <w:tcW w:w="0" w:type="auto"/>
            <w:tcMar>
              <w:top w:w="15" w:type="dxa"/>
              <w:left w:w="15" w:type="dxa"/>
              <w:bottom w:w="15" w:type="dxa"/>
              <w:right w:w="15" w:type="dxa"/>
            </w:tcMar>
            <w:vAlign w:val="center"/>
            <w:hideMark/>
          </w:tcPr>
          <w:p w14:paraId="5CAC6095" w14:textId="115A1F55" w:rsidR="00564014" w:rsidRDefault="00564014">
            <w:pPr>
              <w:rPr>
                <w:rFonts w:ascii="Arial" w:hAnsi="Arial" w:cs="Arial"/>
                <w:color w:val="000000"/>
                <w:sz w:val="18"/>
                <w:szCs w:val="18"/>
              </w:rPr>
            </w:pPr>
            <w:r>
              <w:rPr>
                <w:rFonts w:ascii="Arial" w:hAnsi="Arial" w:cs="Arial"/>
                <w:noProof/>
                <w:color w:val="000000"/>
                <w:sz w:val="18"/>
                <w:szCs w:val="18"/>
              </w:rPr>
              <w:drawing>
                <wp:inline distT="0" distB="0" distL="0" distR="0" wp14:anchorId="1CB6265D" wp14:editId="3A816706">
                  <wp:extent cx="190500" cy="190500"/>
                  <wp:effectExtent l="0" t="0" r="0" b="0"/>
                  <wp:docPr id="3" name="Picture 3" descr="Facebook">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ebook">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w:hAnsi="Arial" w:cs="Arial"/>
                <w:color w:val="000000"/>
                <w:sz w:val="18"/>
                <w:szCs w:val="18"/>
              </w:rPr>
              <w:t>  </w:t>
            </w:r>
            <w:r>
              <w:rPr>
                <w:rFonts w:ascii="Arial" w:hAnsi="Arial" w:cs="Arial"/>
                <w:noProof/>
                <w:color w:val="000000"/>
                <w:sz w:val="18"/>
                <w:szCs w:val="18"/>
              </w:rPr>
              <w:drawing>
                <wp:inline distT="0" distB="0" distL="0" distR="0" wp14:anchorId="12EA75FC" wp14:editId="78108C19">
                  <wp:extent cx="190500" cy="190500"/>
                  <wp:effectExtent l="0" t="0" r="0" b="0"/>
                  <wp:docPr id="2" name="Picture 2" descr="LinkedI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kedIn">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w:hAnsi="Arial" w:cs="Arial"/>
                <w:color w:val="000000"/>
                <w:sz w:val="18"/>
                <w:szCs w:val="18"/>
              </w:rPr>
              <w:t>  </w:t>
            </w:r>
            <w:r>
              <w:rPr>
                <w:rFonts w:ascii="Arial" w:hAnsi="Arial" w:cs="Arial"/>
                <w:noProof/>
                <w:color w:val="000000"/>
                <w:sz w:val="18"/>
                <w:szCs w:val="18"/>
              </w:rPr>
              <w:drawing>
                <wp:inline distT="0" distB="0" distL="0" distR="0" wp14:anchorId="47BD00DD" wp14:editId="2005C34F">
                  <wp:extent cx="190500" cy="190500"/>
                  <wp:effectExtent l="0" t="0" r="0" b="0"/>
                  <wp:docPr id="1" name="Picture 1" descr="Twitter">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itter">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bookmarkEnd w:id="0"/>
    </w:tbl>
    <w:p w14:paraId="571AE68A" w14:textId="77777777" w:rsidR="00564014" w:rsidRDefault="00564014" w:rsidP="00564014">
      <w:pPr>
        <w:spacing w:after="240"/>
      </w:pPr>
    </w:p>
    <w:p w14:paraId="29B31D3E" w14:textId="77777777" w:rsidR="00456EC4" w:rsidRDefault="00456EC4"/>
    <w:sectPr w:rsidR="00456E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Franklin Gothic Medium">
    <w:panose1 w:val="020B0603020102020204"/>
    <w:charset w:val="BA"/>
    <w:family w:val="swiss"/>
    <w:pitch w:val="variable"/>
    <w:sig w:usb0="00000287" w:usb1="00000000" w:usb2="00000000" w:usb3="00000000" w:csb0="0000009F" w:csb1="00000000"/>
  </w:font>
  <w:font w:name="Franklin Gothic Book">
    <w:panose1 w:val="020B05030201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35460F"/>
    <w:multiLevelType w:val="hybridMultilevel"/>
    <w:tmpl w:val="C15C9E36"/>
    <w:lvl w:ilvl="0" w:tplc="F2BCCCB4">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7F"/>
    <w:rsid w:val="00456EC4"/>
    <w:rsid w:val="00564014"/>
    <w:rsid w:val="007455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B7857-9D3F-432E-BD91-902A8283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01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4014"/>
    <w:rPr>
      <w:color w:val="0563C1"/>
      <w:u w:val="single"/>
    </w:rPr>
  </w:style>
  <w:style w:type="paragraph" w:styleId="NormalWeb">
    <w:name w:val="Normal (Web)"/>
    <w:basedOn w:val="Normal"/>
    <w:uiPriority w:val="99"/>
    <w:semiHidden/>
    <w:unhideWhenUsed/>
    <w:rsid w:val="00564014"/>
    <w:pPr>
      <w:spacing w:before="100" w:beforeAutospacing="1" w:after="100" w:afterAutospacing="1"/>
    </w:pPr>
    <w:rPr>
      <w:lang w:eastAsia="lv-LV"/>
    </w:rPr>
  </w:style>
  <w:style w:type="paragraph" w:styleId="ListParagraph">
    <w:name w:val="List Paragraph"/>
    <w:basedOn w:val="Normal"/>
    <w:uiPriority w:val="34"/>
    <w:qFormat/>
    <w:rsid w:val="00564014"/>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2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Augstspriegumatikls" TargetMode="Externa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pasts@fm.gov.lv" TargetMode="External"/><Relationship Id="rId12" Type="http://schemas.openxmlformats.org/officeDocument/2006/relationships/image" Target="media/image4.png"/><Relationship Id="rId17" Type="http://schemas.openxmlformats.org/officeDocument/2006/relationships/hyperlink" Target="https://twitter.com/ast_lv"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www.fm.gov.lv" TargetMode="External"/><Relationship Id="rId11" Type="http://schemas.openxmlformats.org/officeDocument/2006/relationships/image" Target="media/image3.png"/><Relationship Id="rId5" Type="http://schemas.openxmlformats.org/officeDocument/2006/relationships/hyperlink" Target="mailto:%20ilze.sevele@fm.gov.lv" TargetMode="External"/><Relationship Id="rId15" Type="http://schemas.openxmlformats.org/officeDocument/2006/relationships/hyperlink" Target="https://www.linkedin.com/company/augstsprieguma-t%C4%ABkls-as" TargetMode="External"/><Relationship Id="rId10" Type="http://schemas.openxmlformats.org/officeDocument/2006/relationships/hyperlink" Target="mailto:izolde.marhele@ast.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1955</Words>
  <Characters>1115</Characters>
  <Application>Microsoft Office Word</Application>
  <DocSecurity>0</DocSecurity>
  <Lines>9</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Lazarevs</dc:creator>
  <cp:keywords/>
  <dc:description/>
  <cp:lastModifiedBy>Andris Lazarevs</cp:lastModifiedBy>
  <cp:revision>2</cp:revision>
  <dcterms:created xsi:type="dcterms:W3CDTF">2022-06-14T06:45:00Z</dcterms:created>
  <dcterms:modified xsi:type="dcterms:W3CDTF">2022-06-14T06:46:00Z</dcterms:modified>
</cp:coreProperties>
</file>