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21.1. apakšpunktā minētās darbības īstenošanā Ekonomikas ministrija izvērtē un sagatavo nozaru darba tirgus prognozes un nozaru tautsaimniecības vajadzībās un nodarbinātības analīzē balstītu ikgadējo pieprasījumu. Ekonomikas ministrija sadarbībā ar nozaru pārstāvjiem sagatavo informāciju par darba tirgus pieprasījumam un tautsaimniecības nozaru attīstībai nepieciešamajām profesionālajām kvalifikācijām un prasmēm nozaru un profesiju griezumā un to nepieciešamo apjomu. Finansējuma saņēmējs, pamatojoties uz sagatavoto pieprasījumu, apkopo un iesniedz šo noteikumu 61. punktā minētajai Ekonomikas ministrijas komisijai nozaru vajadzību pasūtījumam atbilstošu mācību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punktu norādot, ka Ekonomikas ministrija sadarbībā ar nozaru pārstāvjiem sagatavo nozaru vajadzības. Darba devēji nevar nedefinēt profesionālo kvalifikāciju līmenī, kā arī noteikt apjomu. Apjoms tiek noteikts sagatavojot mācību piedāvājumu, kuru apstiprina Ekonomikas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21.1. apakšpunktā minētās darbības īstenošanā Ekonomikas ministrija izvērtē un sagatavo nozaru darba tirgus prognozes un nozaru tautsaimniecības vajadzībās un nodarbinātības analīzē balstītu ikgadējo pieprasījumu. Ekonomikas ministrija sadarbībā ar nozaru pārstāvjiem sagatavo informāciju par darba tirgus pieprasījumam un tautsaimniecības nozaru attīstībai nepieciešamajām nozares vajadzībām. Finansējuma saņēmējs, pamatojoties uz sagatavoto pieprasījumu, apkopo un iesniedz šo noteikumu 61. punktā minētajai Ekonomikas ministrijas komisijai nozaru vajadzību pasūtījumam atbilstošu mācību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Briķe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projekta īstenošanas rezultātu un rezultatīvo rādītāju sasniegšanas analīzi un novērtē to ietekmi uz nacionālajos un starptautiskajos dokumentos noteikto mērķu sasniegšanu.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punktu, ņemot vērā, ka Ekonomikas ministrijas izveidotā komisija nevar veikt analīzi, bet iepazīties ar sagatavoto analīzi un novērtēt rezultātu ietekmi pirms izskatīšanas Cilvēkkapitāla attīstības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regulāri iepazīstas ar projekta īstenošanas rezultātu un rezultatīvo rādītāju sasniegšanas analīzi un novērtē to ietekmi uz nacionālajos un starptautiskajos dokumentos noteikto mērķu sasniegšanu pirms iesniegšanas izskatīšanā Cilvēkkapitāla attīstības padomē.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Briķe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10.06.2025.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10.06.2025.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Atzinumi_25-TA-788.docx</dc:title>
</cp:coreProperties>
</file>

<file path=docProps/custom.xml><?xml version="1.0" encoding="utf-8"?>
<Properties xmlns="http://schemas.openxmlformats.org/officeDocument/2006/custom-properties" xmlns:vt="http://schemas.openxmlformats.org/officeDocument/2006/docPropsVTypes"/>
</file>