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18. oktobra noteikumos Nr. 660 "Energoefektivitātes monitoringa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pie Risinājuma apraksta norādīts: </w:t>
            </w:r>
            <w:r w:rsidR="00000000" w:rsidRPr="00000000" w:rsidDel="00000000">
              <w:rPr>
                <w:i w:val="1"/>
                <w:rtl w:val="0"/>
              </w:rPr>
              <w:t xml:space="preserve">"Noteikumu projekta saskaņošanas procesā ieinteresētās puses ir paudušas interesi par papildu datu ziņošanu par primārās enerģijas patēriņu, uzsverot, ka primārās enerģijas patēriņš dažādiem enerģijas galapatēriņa veidiem var būtiski atšķirties. T.k. šie dati ir ārpus ES Direktīvas 2023/1791 8. panta tvēruma, taču tiem būtu pievienotā vērtība energoefektivitātes veicināšanas procesu izvērtēšanai nacionālā līmenī, nākotnē uzlabojot ERIS funkcionalitāti, tiks vērtēta iespēja iekļaut ziņošanā primārās enerģijas ietaupījumu vai arī galapatēriņu sadalīt pa enerģijas veidiem (siltumenerģija vai elektroenerģija) un ieguves resursiem (kurināmā veida vai atjaunīgiem enerģijas avotiem)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minēto tekstu, izsakot to šādā redakcijā: "Noteikumu projekta saskaņošanas procesā ieinteresētās puses ir paudušas viedokli, ka sniedzot ziņas par enerģija gala patēriņa ietaupījumu, svarīgi ir zināt arī ietaupīto energoresursa veidu, kas savukārt ļauj precīzi novērtēt arī sasniegto primārās enerģijas patēriņu, uzsverot, ka primārās enerģijas patēriņš dažādiem enerģijas galapatēriņa veidiem var būtiski atšķirties. T.k. šie dati ir ārpus ES Direktīvas 2023/1791 8. panta tvēruma, taču tiem būtu pievienotā vērtība energoefektivitātes veicināšanas procesu izvērtēšanai nacionālā līmenī, nākotnē uzlabojot ERIS funkcionalitāti, tiks vērtēta iespēja iekļaut ziņošanā arī ietaupīto enerģijas gala patēriņa veidu (siltumenerģija, elektroenerģija) vai kurināmā resursu (fosilā vai atjaunīgā kurināmā veidu vai atjaunīgiem enerģijas avotu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Primārās enerģijas novērtējums balstās uz enerģijas daudzumu un resursu, savukārt, pēc  primārās enerģijas daudzuma nevar spriest par gala patēriņu un izmantoto resursu.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Energoefektivitātes likuma</w:t>
            </w:r>
            <w:r w:rsidR="00000000" w:rsidRPr="00000000" w:rsidDel="00000000">
              <w:rPr>
                <w:rtl w:val="0"/>
              </w:rPr>
              <w:t xml:space="preserve"> 5. panta ceturto un piekto daļu, 6. panta piekto daļu, 10. panta septīto daļu un 12. panta sesto un piecpadsmito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grozījumu 1.punktu, jo pamatojums gan noteikumu spēkā esošajā redakcijā, gan piedāvātajā redakcijā ir identisks. Iespējams, tās rādies tāpēc, ka iepriekš tika piedāvāts to papildināt ar atsauci uz Standartizācijas likumu, taču pēc pirmās redakcijas šāds priekšlikums tika noraidīts, līdz ar to faktiski pamatojuma redakcija netiek grozīta.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Violeta Jegorova (IUB)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04.04.2024.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04.04.2024.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Atzinumi_23-TA-1231.docx</dc:title>
</cp:coreProperties>
</file>

<file path=docProps/custom.xml><?xml version="1.0" encoding="utf-8"?>
<Properties xmlns="http://schemas.openxmlformats.org/officeDocument/2006/custom-properties" xmlns:vt="http://schemas.openxmlformats.org/officeDocument/2006/docPropsVTypes"/>
</file>