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pedagogu zemākās darba samaksas likmes  pieauguma grafiku laikposmam no 2023. gada 1. septembra līdz 2025. gada 31. decembrim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pedagogu zemākās darba samaksas likmes  pieauguma grafiku laikposmam no 2023. gada 1. septembra līdz 2025.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pret rīkojuma projekta tālāko virzību pirms Ministru kabinetā tiek izskatīti pārējie normatīvie akti, kas saistīti ar finansējuma palielināšanu, un ar kuru ieviešanu tiks rasts finansējums rīkojuma projektā paredzēto normu izpildei. Tādējādi šobrīd projekts tiek virzīts bez nepieciešamā papildu finansējuma. Atkārtoti vēršam uzmanību uz to, ka palielināt mēneša darba algas likmes iespējams tikai tad, ja tiek nodrošināts papildu finansējums, jo, ja akadēmiskajam personālam tiek palielinātas mēneša darba algas likmes esošā finansējuma ietvaros, tas nozīmē, ka augstskolām būs nepieciešams rast papildu finansējuma sava budžeta ietvaros, līdz ar to prognozējams, ka tiks celtas studiju maksas, lai augstskolas gūtu papildu ienākumus un vispār šo atalgojuma palielinājumu būtu spējīgas realizēt sava budžeta ietvaros. Tādējādi tiek veicināta augstākās izglītības nepieejamība studējošajiem, kas par studijām tik lielu summu atļauties samaksāt nevar, un rada papildu finansiālo slogu studējošajiem. Tāpat jāņem vērā, ka tas var pasliktināt studiju kvalitāti, jo tiks atņemti līdzekļi kādai citai nepieciešamai studiju procesa sastāvdaļai.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994. “Kārtība, kādā augstskolas un koledžas tiek finansētas no valsts budžeta līdzekļiem” nosaka, ka studiju vietas bāzes izmaksu aprēķinā tiek ietverts arī akadēmiskā personāla darba atalgojums, tādējādi, palielinot akadēmiskā personāla mēneša darba algas likmes, palielinās arī studiju vietu bāzes izmaksas. Ja netiek piešķirts papildu finansējums atalgojuma palielināšanai, var tikt samazināts valsts finansēto budžeta vietu skaits augstskolās, kas, savukārt, mazinās augstākās izglītības pieejamību un tikai palielinās sociālo nevienlīdzību augstākās izglītības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Vaivade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12.04.2023. 19.17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12.04.2023. 19.17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Atzinumi_23-TA-212.docx</dc:title>
</cp:coreProperties>
</file>

<file path=docProps/custom.xml><?xml version="1.0" encoding="utf-8"?>
<Properties xmlns="http://schemas.openxmlformats.org/officeDocument/2006/custom-properties" xmlns:vt="http://schemas.openxmlformats.org/officeDocument/2006/docPropsVTypes"/>
</file>