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sniegto administratīvā sloga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ietvertais iebildums ir ņemts vērā daļēji, tomēr anotācijā joprojām nav sniegts pietiekams administratīvā sloga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Rīgas valstspilsētas pašvaldības datiem par 2025. gadā izsniegtajām ielu tirdzniecības atļaujām, norādot kopējo izsniegto atļauju skaitu un privātajā īpašumā izsniegto atļauju īpatsvaru. Tomēr minētie dati vienīgi raksturo iespējamo regulējuma tvērumu vienā pašvaldībā un nav pietiekami, lai pamatotu administratīvā sloga samazinājumu valsts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nav skaidrots, kāpēc administratīvā sloga samazinājumu nav iespējams aprēķināt, ja regulējuma piemērošanas tvērumu ir iespējams novērtēt, apkopojot informāciju par pašvaldību iepriekš izsniegtajām ielu tirdzniecības atļaujām. Tāpat anotācijā nav ietverta informācija par administratīvā sloga aprēķināšanai nepieciešamajiem datiem un pieņēmumiem, piemēram, cik daudz laika komersantam nepieciešams sagatavot un iesniegt iesniegumu atļaujas saņemšanai, kāds ir pašvaldības lēmuma saņemšanas process, kā arī citi administratīvā sloga aprēķināšanas metodikā izmantojamie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apstāklis, ka noteikumu projekts izstrādāts, lai izpildītu Ministru kabineta 2026. gada 3. marta sēdes protokollēmumā (prot. Nr. 11, 64. §) doto uzdevumu, pats par sevi neatbrīvo no pienākuma veikt pilnvērtīgu paredzētā regulējuma ietekmes izvērtējumu un pamatot administratīvā sloga samazinājumu atbilstoši tiesību aktu ietekmes novērtēšanas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sadaļu "Tiesību akta projekta izpildes nodrošināšana un tās ietekme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anotācijā norādīto, ka tiesību akta projekts neskar institūciju darbību. No anotācijas izriet, ka ar projektu tiek mainīta pašvaldību līdzšinējā ielu tirdzniecības administrēšanas kārtība – daļā gadījumu tiek noņemts pienākums izsniegt atļaujas, vienlaikus paredzot pienākumu pieņemt un apstrādāt paziņojumus par tirdzniecību privātīpašumā, kā arī precizējot pašvaldību kompetenci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anotācijas 7. sadaļā norādāmas tiesību akta projekta izpildē iesaistītās institūcijas un to loma arī gadījumos, kad projekta īstenošanai nav nepieciešams papildu finansējums vai jaunu institūciju izveide. Līdz ar to lūdzam izvērtēt, vai anotācijas 7. sadaļā nav sniedzama informācija vismaz par pašvaldībām kā projekta izpildē iesaistītajām institūcijām, kā arī par tiesību akta projekta ietekmi uz to darba organizāciju un administratīvajiem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15.07.2026.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15.07.2026.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