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Muitošanai pakļautas preces un transportlīdzekļi, kuros atrodas muitošanai pakļautas preces, ja ir pamatotas aizdomas, ka saistībā ar šo preču pārvietošanu ir izdarīts noziedzīgs nodarījums, atrodas muitas uzraudzībā līdz tiesību aizsardzības iestādes lēmuma par turpmāku rīcību ar minētajām precēm un transportlīdzekļiem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Valsts ieņēmumu dienests pieņem lēmumu par tādu preču konfiskāciju, uz kurām attiecas Regulas Nr. 952/2013 198. panta 1. punkta “b” apakšpunkta “iv” punktā minētie aizliegumi vai ierobežojumi, vai lēmumu, ar kuru uzliek pienākumu preces iznīcināt saskaņā ar Regulas Nr. 952/2013 197. pantu, ja precēm nav iespējams piemērot muitas procedūru “laišana brīvā apgrozībā”, minēto preču uzglabāšanu, atbilstoši nosacījumiem par ārpussavienības preču uzglabāšanu līdz brīdim, kad lēmums kļūst izpildāms, nodrošina lēmuma adresāts.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Muitas iestāde ir tiesīga pieprasīt, lai preces, par kurām pieņemts šā panta septītajā daļā minētais lēmums, pārvietotu uz īpašu muitas iestādes uzraudzībā esošu vietu. Muitas iestādes prasības par preču pārvietošanu uz īpašu muitas iestādes uzraudzībā esošu vietu apstrīdēšana un pārsūdzēšana neaptur minētās prasības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Atkārtoti uzturam iebildumu, ka nav pieļaujams regulējums, kas paredz, ka saistībā ar vienu pārkāpumu vienlaikus notiek dažāda veida procesi. Proti, administratīvā pārkāpuma process par izdarīto pārkāpumu un administratīvais process saistībā ar preces konfiskāciju.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 sankciju neievērošanu var tikt paredzēta administratīvā atbildība un sankcionētās preces ietilpst Regulas Nr. 952/2013 198. panta 1. punkta  “iv” punktā tvērumā, tad arī projektā ietvertais regulējums, kas saistīts ar preču konfiskāciju administratīvajā procesā par administratīvo pārkāpumu nav pieļaujams. Kā jau tika minēts iepriekš, administratīvā pārkāpuma procesam ir jānotiek saskaņā ar Administratīvās atbildības likuma regulējumu un nav pieļaujams atsevišķas darbības, kuras ir noteiktas Administratīvās atbildības likumā, īstenot citā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līdz tādai pakāpei, lai novērstu tā neatbilstību Administratīvās atbildības likuma 2. panta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anotācijā ietvertais skaidrojums par preču konfiskācijas procesu neliecina, ka Tieslietu ministrijas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Tiesības izpaust informāciju par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tiesīgs muitas deklarācijā, reeksporta deklarācijā un reeksporta paziņojumā norādītajām personām izpaust tādu informāciju par citām attiecīgajā muitas deklarācijā, reeksporta deklarācijā un reeksporta paziņojumā norādītajām personām, kura norāda, ka persona  ir pārkāpusi starptautisko organizāciju vai Latvijas Republikas noteiktās sankcijas attiecībā uz preču ievešanu Eiropas Savienībā (importu) vai izvešanu no Eiropas Savienības (eksportu), bez personas, par kuru informācija tiek izpausta, piekrišanas."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plānoto normu tiks ierobežotas nodokļu maksātāja tiesības uz personas datu aizsardzību, lūdzam papildināt anotāciju ar samērīguma izvērtējumu. Vēršam uzmanību, ka atbilstoši Valsts kancelejas 2021. gada vadlīnijās sākotnējās ietekmes novērtēšanai un novērtējuma ziņojuma sagatavošanai vienotajā tiesību aktu izstrādes un saskaņošanas portālā noteiktajam attiecībā uz datu aizsardzību (54.-55.lpp.), gadījumā, kad ir plānota personas datu apstrāde, tas ir uzskatāms par personas pamattiesību aizskārumu,</w:t>
            </w:r>
            <w:r w:rsidR="00000000" w:rsidRPr="00000000" w:rsidDel="00000000">
              <w:rPr>
                <w:u w:val="single"/>
                <w:rtl w:val="0"/>
              </w:rPr>
              <w:t xml:space="preserve"> līdz ar to arī vērtējams šāda ierobežojuma samērīgums ar sasniedzamo mērķi.</w:t>
            </w:r>
            <w:r w:rsidR="00000000" w:rsidRPr="00000000" w:rsidDel="00000000">
              <w:rPr>
                <w:rtl w:val="0"/>
              </w:rPr>
              <w:t xml:space="preserve"> Papildinot minēto, norādāms, lai noskaidrotu, vai ierobežojums ir nepieciešams demokrātiskā sabiedrībā, ir jāvērtē vai ierobežojums ir sociāli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(skatīt, piemēram, Satversmes tiesas 2011.gada 30.marta sprieduma lietā Nr.2010-60-01 23.punktu).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20.10.2025.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24-TA-2344</w:t>
    </w:r>
    <w:r>
      <w:br/>
    </w:r>
    <w:r w:rsidR="00000000" w:rsidRPr="00000000" w:rsidDel="00000000">
      <w:rPr>
        <w:rtl w:val="0"/>
      </w:rPr>
      <w:t xml:space="preserve">Izdrukāts 20.10.2025.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Atzinumi_24-TA-2344.docx</dc:title>
</cp:coreProperties>
</file>

<file path=docProps/custom.xml><?xml version="1.0" encoding="utf-8"?>
<Properties xmlns="http://schemas.openxmlformats.org/officeDocument/2006/custom-properties" xmlns:vt="http://schemas.openxmlformats.org/officeDocument/2006/docPropsVTypes"/>
</file>