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Interešu pārstāvības atklātības likuma mērķa sasniegšanu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iebilst pret Informatīvajā ziņojumā minēto, ka būtu vērtējams jautājums par valsts nodevu par ieraksta izdarīšanu interešu pārstāvības reģistrā, jo uzskatām, ka tas varētu radīt papildu šķēršļus interešu pārstāvjiem iesaistīties lēmumu pieņemšanas procesā, piemēram, sabiedriskā labuma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detalizētāk izklāstīt tālākos soļus, kas tiks veikti, lai piesaistītu nepieciešamo finansējumu interešu pārstāvja reģistram un deklarēšanās sistēmai un to, kā tas ietekmēs tālāko šo reģistru ieviešanas laika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detalizētāk izklāstīt tālākos soļus, kas tiks veikti, lai piesaistītu nepieciešamo finansējumu interešu pārstāvja reģistram un deklarēšanās sistēmai un to, kā tas ietekmēs tālāko šo reģistru ieviešanas laika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26.03.2024.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26.03.2024.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Atzinumi_24-TA-681.docx</dc:title>
</cp:coreProperties>
</file>

<file path=docProps/custom.xml><?xml version="1.0" encoding="utf-8"?>
<Properties xmlns="http://schemas.openxmlformats.org/officeDocument/2006/custom-properties" xmlns:vt="http://schemas.openxmlformats.org/officeDocument/2006/docPropsVTypes"/>
</file>