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3.2.1. specifiskā atbalsta mērķa "Attīstīt un izvērst ilgtspējīgu, klimatnoturīgu, intelektisku un intermodālu mobilitāti valsts, reģionālā un vietējā līmenī, tostarp uzlabotu piekļuvi TEN-T un pārrobežu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Maksimālais attiecināmais Eiropas Reģionālās attīstības fonda finansējuma apmērs nepārsniedz 85 procentus no projektā plānotā kopējā attiecināmā finansējuma, ņemot vērā izmaksu un ieguvumu analīzē iegūto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noteikumu projekta 5.punkta svītrot vārdus "</w:t>
            </w:r>
            <w:r w:rsidR="00000000" w:rsidRPr="00000000" w:rsidDel="00000000">
              <w:rPr>
                <w:i w:val="1"/>
                <w:rtl w:val="0"/>
              </w:rPr>
              <w:t xml:space="preserve">ņemot vērā izmaksu un ieguvumu analīzē iegūto rezultātu</w:t>
            </w:r>
            <w:r w:rsidR="00000000" w:rsidRPr="00000000" w:rsidDel="00000000">
              <w:rPr>
                <w:rtl w:val="0"/>
              </w:rPr>
              <w:t xml:space="preserve">", ņemot vērā, ka netiek plānots, ka līdzfinansējuma likmi noteiktu izmaksu un ieguvumu analīzē gūtie rezultāti.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iesniedzējs projekta īstenošanā var piesaistīt papildu publiskos līdzekļus attiecināmo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6.punkta un anotācijas izriet, ka projekta iesniedzējs projekta īstenošanā nepieciešamības gadījumā var piesaistīt papildu publiskos līdzekļus attiecināmo izmaksu segšanai. Lūdzam anotāciju papildināt ar skaidrojumu, kādus citus publiskos līdzekļus var papildus piesaistīt.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Infrastruktūra, kurā plānotas investīcijas specifiskā atbalsta ietvaros, atrodas Daugavpils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iestrādātajai praksei, ja Ministru kabineta noteikumi par specifisko atbalsta mērķi  ir attiecināmi uz infrastruktūru, tad  minētajos noteikumos iekļauj nosacījumu par finansējuma saņēmēja tiesībām uz konkrēto objektu vai īpašumu, kurā plānots veikt ieguldījumus (īpašumā, ilgtermiņa nomā vai nodibinātas apbūves tiesības, bezatlīdzības lietošanā, valdījumā, turējumā u.c.) un minētajām tiesībām uz konkrēto objektu vai īpašumu jābūt nostiprinātām Zemesgrāmatā. Gadījumā, ja ir piemērojams izņēmums, anotācijā ir jāietver attiecīgs pamatojums. Ņemot vērā iepriekšminēto lūdzam precizēt noteikumu projekta 15.punktu, vai anotācijā ietvert attiecīgu pamatojumu izņēmumam.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īstenojamā projekta kopējās izmaksas ir plānotas ne mazāk kā 5 086 621 euro apmērā, lūdzam izvērtēt nepieciešamību papildināt noteikumu projektu ar punktu, kas paredz  Daugavpils valstspilsētas pašvaldībai avansa saņemšanas iespējas projekta īstenošanai, kā tas  ir paredzēts citos ES līdzfinansētajos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netiešās attiecināmās izmaksas, kas nav tieši saistītas ar projekta rezultātu sasniegšanu, bet atbalsta un nodrošina atbilstošus apstākļus projekta īstenošanai un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nosaka netiešo izmaksu apmēru un aprēķināšanas likmi. Vienlaikus lūdzam deleģējuma sadaļā noteikt, ka MK noteikumi nosaka arī vienkāršoto izmaksu nosacījumus, ņemot vērā, ka plānotas netiešās izmaksas, kam jānosaka vienotā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projekta vadības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plānotas projekta vadības personāla izmaksas, aicinām noteikumu projektā paredzēt arī atbilstošu atbalstāmo darbību "Projekta vadības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noteikumu projekta 25.punktu, ņemot vērā, ka 25.1. un 25.2. apakšpunktos noteiktais ierobežojums '</w:t>
            </w:r>
            <w:r w:rsidR="00000000" w:rsidRPr="00000000" w:rsidDel="00000000">
              <w:rPr>
                <w:i w:val="1"/>
                <w:rtl w:val="0"/>
              </w:rPr>
              <w:t xml:space="preserve">euro</w:t>
            </w:r>
            <w:r w:rsidR="00000000" w:rsidRPr="00000000" w:rsidDel="00000000">
              <w:rPr>
                <w:rtl w:val="0"/>
              </w:rPr>
              <w:t xml:space="preserve">' ir ES fondu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minētās netiešās attiecināmās izmaksas ietver šādas izmaksu pozīcijas: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vadošās iestādes vadlīnijās Nr 1.2 “Vadlīnijas attiecināmo izmaksu noteikšanai Eiropas Savienības kohēzijas politikas programmas 2021.-2027.gada plānošanas periodā” ierosinātie grozījumi, kas paredz tai skaitā autoruzraudzības un būvuzraudzības izmaksu ierobežojumu svītrošanu, pašlaik ir saskaņošanas procesā un gala versija vēl nav apstiprināta, līdz ar to aicinām ņemt vērā, ka tajā vēl iespējamas izmaiņas, t.sk. tādas, kas ietekmētu arī šo MK noteikumu projektu un tajā ietvertos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var tikt virzīts apstiprināšanai Ministru kabinetā (turpmāk – MK) pirms vadlīniju apstiprināšanas, taču tajā ietvertas atsevišķas normas atbilstoši plānotajiem grozījumiem (t.i. atkāpes no ierobežojumiem), aicinām anotāciju papildināt ar a) pamatojumu atkāpei no spēkā esošajām vadlīnijām; b) informāciju, ka Atbildīgā iestāde vajadzības gadījumā vērtēs grozījumu nepieciešamību apstiprinātajos MK noteikumos balstoties uz vadlīniju versiju pēc grozījumiem, ievērojot visus tajā ietvertos nosacījumus, t.sk. pārvērtējot visas izmaksu pozīcijas, attiecināšanas nosacījumus un izmaiņu ietekmi uz jau īstenošanā esošajiem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Specifiskā atbalsta ietvaros izmaksas ir attiecināmas no dienas, kad atbilstoši </w:t>
            </w:r>
            <w:r w:rsidR="00000000" w:rsidRPr="00000000" w:rsidDel="00000000">
              <w:rPr>
                <w:rtl w:val="0"/>
              </w:rPr>
              <w:t xml:space="preserve">regulas 2021/1060</w:t>
            </w:r>
            <w:r w:rsidR="00000000" w:rsidRPr="00000000" w:rsidDel="00000000">
              <w:rPr>
                <w:rtl w:val="0"/>
              </w:rPr>
              <w:t xml:space="preserve"> 63.panta 7.punktam Eiropas Komisijai ir iesniegts Eiropas Savienības kohēzijas politikas programmas 2021.–2027.gadam grozījumu pieprasījums, kas paredz specifiskā atbalsta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27.punktu, lūdzam papildināt Ministru kabineta protokollēmumu ar punktu par rīcību, gadījumā, ja Eiropas Komisija neapstiprina  Eiropas Savienības kohēzijas politikas programmas 2021.–2027.gadam grozījumu pieprasījumu, kas paredz šī specifiskā atbalsta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netiek noteikts konkrēts izmaksu attiecināmības sākuma datums, lūdzam anotāciju papildināt ar informāciju, kurš un kādā veidā informēs finansējuma saņēmēju par konkrēto datumu, no kura izmaksas būs attiecināmas.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27.punktu papildināt ar nosacījumu, ka projekta ietvaros nedrīkst attiecināt jau pabeigtas darbības, t.i., darbības, kas jau pabeigtas pirms projekta iesnieguma iesniegšanas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uzkrāj datus par projektā sasniegto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minēto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noteikumu projekta 7.1. apakšpunktā noteikto datu uzkrāšanas mērķi , vienlaikus aicinām izvērtēt vai noteikumu projektā nav jānosaka, ka finansējuma saņēmējam jāuzkrāj dati arī par noteikumu projekta 7.2. apakšpunktā noteiktajiem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ievēro horizontālo principu "Vienlīdzība, iekļaušana, nediskriminācija un pamattiesību ievērošana" un uzkrāj datus par projekta ietekmi uz horizontālā principa rādītāju – sabiedriskā transporta vienību skaitu, kuros Kohēzijas fonda ieguldījumu rezultātā ir nodrošināta vides un informācijas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29.2. apakšpunktā ietverto rādītāju, jo tas nav attiecināms uz pasākumu. Tāpat aicinām izvērtēt iespēju papildināt noteikumu projektu ar sasniedzamo rādītāju VINPI_12.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ievēro horizontālo principu "Vienlīdzība, iekļaušana, nediskriminācija un pamattiesību ievērošana" un uzkrāj datus par projekta ietekmi uz horizontālā principa rādītāju – objektu skaits, kuros Kohēzijas fonda ieguldījumu rezultātā ir nodrošināta vides un informācijas piekļūstamība - un citiem horizontālo principu rādītājiem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nodrošina projekta īstenošanā radīto vērtību atbilstošu uzturēšanu;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29.7.apakšpunktu ar informāciju, no kādiem līdzekļiem tiks nodrošināta rezultātu uzturēšana.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ja attiecināms, projekta ietvaros, veicot iepirkumus, nodrošina vides prasību integrāciju preču un pakalpojumu iepirkumos, kā arī publiskos iepirkumus īsteno sociāli atbildīgā veidā, piemērojot sociāli atbildīgā publiskā iepirkuma un inovatīvā publiskā iepirkuma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nolūkā lūdzam izvērtēt iespēju pārskatīt noteikumu projekta 29.12.apakšpunkta redakciju, paredzot sociāli atbildīgā iepirkuma un inovatīva publiskā iepirkuma piemērošanu kā iespēju, nevis obligātu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lūdzam izvērtēt nepieciešamību salāgot noteikumu projekta redakciju ar anotācijā norādīto, kur minēts, ka iepirkuma procedūras veikšanā ir atbalstāma vides prasību integrācija preču un pakalpojumu iepirkumos (</w:t>
            </w:r>
            <w:r w:rsidR="00000000" w:rsidRPr="00000000" w:rsidDel="00000000">
              <w:rPr>
                <w:b w:val="1"/>
                <w:rtl w:val="0"/>
              </w:rPr>
              <w:t xml:space="preserve">zaļais publiskais iepirkums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 sadaļas 5.3. apakšpunktu, kā arī punktā “Cita informācija” otrajā teikumā vārdus “Minētais finansējums” aizstāt ar vārdiem “ERAF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25-TA-523</w:t>
    </w:r>
    <w:r>
      <w:br/>
    </w:r>
    <w:r w:rsidR="00000000" w:rsidRPr="00000000" w:rsidDel="00000000">
      <w:rPr>
        <w:rtl w:val="0"/>
      </w:rPr>
      <w:t xml:space="preserve">Izdrukāts 08.05.2025.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25-TA-523</w:t>
    </w:r>
    <w:r>
      <w:br/>
    </w:r>
    <w:r w:rsidR="00000000" w:rsidRPr="00000000" w:rsidDel="00000000">
      <w:rPr>
        <w:rtl w:val="0"/>
      </w:rPr>
      <w:t xml:space="preserve">Izdrukāts 08.05.2025.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Atzinumi_25-TA-523.docx</dc:title>
</cp:coreProperties>
</file>

<file path=docProps/custom.xml><?xml version="1.0" encoding="utf-8"?>
<Properties xmlns="http://schemas.openxmlformats.org/officeDocument/2006/custom-properties" xmlns:vt="http://schemas.openxmlformats.org/officeDocument/2006/docPropsVTypes"/>
</file>