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9.</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pants. Atbrīvojums no nodokļa samaksas par tekstilizstrādājumiem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Nodokli par tekstilizstrādājumiem nodokļa maksātājs nemaksā, ja tas nodrošina vides aizsardzības normatīvajos aktos noteikto normu izpildi tekstilizstrādājumu dalītās savākšanas un nodošanas atkārtotai izmantošanai, pārstrādei vai reģenerācijai, kā arī izpilda vienu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izveidojis un piemēro ražotāja paplašinātās atbildības sistēmu attiecībā uz tekstilizstrādājumu atkritumu apsaimniekošanu (turpmāk — tekstilizstrādājumu atkritumu apsaimniekošanas sistēma), iesniedzis Vides aizsardzības un reģionālās attīstības ministrijas padotībā esošai iestādei finanšu nodrošinājumu un noslēdzis ar šo iestādi līgumu par tekstilizstrādājumu atkritumu apsaimniekošanas sistēmas piemērošanu (turpmāk — tekstilizstrādājumu apsaimniekošanas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noslēdzis ar tekstilizstrādājumu atkritumu apsaimniekotāju līgumu par piedalīšanos tekstilizstrādājumu atkritumu apsaimniekošanas sistēmā (ja apsaimniekotājs ir iesniedzis Vides aizsardzības un reģionālās attīstības ministrijas padotībā esošai iestādei finanšu nodrošinājumu un noslēdzis ar šo iestādi tekstilizstrādājumu apsaimniekošanas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tekstilizstrādājumu atkritumu apsaimniekotājs vai nodokļa maksātājs iesniedz dokumentus, kas apliecina tekstilizstrādājumu atkritumu apsaimniekošanas sistēmas piemērošanu un apsaimniekotāja līgumpartneru piedalīšanos šādas sistēmas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prasības tekstilizstrādājumu atkritumu apsaimniekošanas sistēmu izveidei un piemērošanai, kā arī prasības nodokļa maksātājam, kas pats izveidojis un piemēro tekstilizstrādājumu atkritumu apsaimniekošanas sistēmu un nemaksā nodokli, un prasības tekstilizstrādājumu atkritumu apsaimniekotājiem, kuru līgumpartneri nemaksā nodokli par tekstilizstrādājumiem;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nodokļa maksātājs un tekstilizstrādājumu atkritumu apsaimniekotājs iesniedz pusgada pārskatu un auditētu gada pārskatu par tekstilizstrādājumu atkritumu apsaimniekošanu, aprēķināto nodokli, pārskata formu un tajā iekļaujamo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tekstilizstrādājumu atkritumu dalītās savākšanas un nodošanas atkārtotai izmantošanai, pārstrādei vai reģenerācijai apjomu noteikšanas kārtību tekstilmateriālu atkritumu apsaimniekošanas sistēmu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tekstilizstrādājumu apsaimniekošanas līguma būtiskos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kārtību, kādā Vides aizsardzības un reģionālās attīstības ministrijas padotībā esoša iestāde pieņem lēmumu par atbrīvojumu no nodokļa samaksas par tekstilizstrādājumiem un izskata pusgada pārskatu un auditētu gada pārskatu par tekstilizstrādājumu atkritumu apsaimniekošanu un aprēķināto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kārtību, kādā slēdz, groza un izbeidz šā panta pirmajā daļā minēto līgumu, līguma grozīšanas nosacījumus, kā arī gadījumus un kārtību, kādā vienpusēji atkāpjas no šā panta pirmajā daļā minētā līguma.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ministrijas padotībā esoša iestāde kontrolē tekstilizstrādājumu atkritumu apsaimniekošanas sistēmas darbības programmas izpildi, kā arī pēc tam, kad ir pieņēmusi lēmumu par atbrīvošanu no nodokļa, līdz ceturksnim sekojošā nākamā mēneša 20. datumam rakstveidā informē par to Valsts ieņēmumu dienestu un sniedz tam nepieciešamās ziņas.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tekstilizstrādājumu apsaimniekošanas līgumu ar normatīvajos aktos noteiktu Vides aizsardzības un reģionālās attīstības ministrijas padotībā esošu iestādi noslēdz apsaimniekotājs, tas rakstveidā informē savus līgumpartnerus par noslēgto līgumu un piemērojamo atbrīvojumu no nodokļa samaksas, norādot Valsts vides dienesta tā lēmuma datumu un numuru, kurš pieņemts par apsaimniekošanas līguma noslēgšanu un atbrīvojuma piemērošanu, kā arī norādot, uz kādu laikposmu atbrīvojums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Nodokļa maksātājs zaudē tiesības uz šajā pantā noteikto nodokļa atbrīvojumu, ja šā panta pirmās daļas 1. vai 2. punktā minētais līgums normatīvajos aktos noteiktajā kārtībā tiek izbeigts sakarā ar to, ka nodokļa maksātājs vai apsaimniekotājs apsaimniekošanas sistēmu nepiemēro vai piemēro nepilnīgā apmērā un neizpilda līgumā ar Vides aizsardzības un reģionālās attīstības ministrijas padotībā esošu iestādi ietvertās saistības. Atbrīvojumu no nodokļa samaksas pārtrauc piemērot, sākot ar līguma izbeigšanas dienai sekojošā nākamā ceturkšņa pirmā mēneša pirmo dienu.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Nodokļa maksātājs zaudē tiesības uz šajā pantā noteikto nodokļa atbrīvojumu, ja šā panta pirmās daļas 1. vai 2. punktā minētais līgums normatīvajos aktos noteiktajā kārtībā tiek izbeigts sakarā ar to, ka nodokļa maksātājs vai apsaimniekotājs mēneša laikā pēc normatīvajos aktos noteiktā termiņa nav iesniedzis Vides aizsardzības un reģionālās attīstības ministrijas padotībā esošai iestādei pusgada pārskatu vai auditētu gada pārskatu par tekstilizstrādājumu atkritumu apsaimniekošanu un aprēķināto nodokli. Atbrīvojumu no nodokļa samaksas pārtrauc piemērot, sākot ar līguma izbeigšanas dienai sekojošā nākamā ceturkšņa pirmā mēneša pirmo dienu.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piektajā un sestajā daļā minētā lēmuma par vienpusēju atkāpšanos no līguma gadījumos, kad nodokļa maksātājs vai apsaimniekotājs apsaimniekošanas sistēmu nepiemēro vai piemēro nepilnīgā apmērā un neizpilda līgumā ar Vides aizsardzības un reģionālās attīstības ministrijas padotībā esošu iestādi ietvertās saistības, un gadījumos, kad nodokļa maksātājs vai apsaimniekotājs mēneša laikā pēc normatīvajos aktos noteiktā termiņa nav iesniedzis Vides aizsardzības un reģionālās attīstības ministrijas padotībā esošai iestādei pusgada pārskatu vai auditētu gada pārskatu par tekstilizstrādājumu atkritumu apsaimniekošanu un aprēķināto nodokli, apstrīdēšana un pārsūdzēšana neaptur lēmuma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Izbeidzot šajā pantā noteikto apsaimniekošanas līgumu, četru mēnešu laikā pēc līguma izbeigšanas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nodokļa maksātājs, kas izveidojis un piemērojis tekstilizstrādājumu atkritumu apsaimniekošanas sistēmu un nemaksāja nodokli, iesniedz Vides aizsardzības un reģionālās attīstības ministrijas padotībā esošajai iestādei, ar kuru bija noslēgts apsaimniekošanas līgums, pārskatu par tekstilizstrādājumu atkritumu apsaimniekošanu un aprēķināto nodokli par periodu no kalendārā gada sākuma līdz brīdim, kad atbrīvojums no nodokļa samaksas tika pārtraukts;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apsaimniekotājs, kura līgumpartneri nemaksāja nodokli par tekstilizstrādājumiem, iesniedz Vides aizsardzības un reģionālās attīstības ministrijas padotībā esošajai iestādei, ar kuru bija noslēgts apsaimniekošanas līgums, auditētu pārskatu par tekstilizstrādājumu atkritumu apsaimniekošanu un aprēķināto nodokli par periodu no kalendārā gada sākuma līdz brīdim, kad atbrīvojums no nodokļa samaksas tika pārtraukts.”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"Grozījumi Dabas resursu nodokļa likumā" (turpmāk – projekts) 8. pantā ietvertā Dabas resursu nodokļa likuma (turpmāk – Likums) 9.</w:t>
            </w:r>
            <w:r w:rsidR="00000000" w:rsidRPr="00000000" w:rsidDel="00000000">
              <w:rPr>
                <w:vertAlign w:val="superscript"/>
                <w:rtl w:val="0"/>
              </w:rPr>
              <w:t xml:space="preserve">1</w:t>
            </w:r>
            <w:r w:rsidR="00000000" w:rsidRPr="00000000" w:rsidDel="00000000">
              <w:rPr>
                <w:rtl w:val="0"/>
              </w:rPr>
              <w:t xml:space="preserve"> panta septītā daļa noteic, ka lēmuma par vienpusēju atkāpšanos no līguma apstrīdēšana un pārsūdzēšana neaptur tā darbību. Vēršam uzmanību uz to, ka Administratīvā procesa likuma 80. panta pirmā daļa un 185. panta pirmā daļa noteic vispārīgo principu, ka administratīvā akta apstrīdēšana un pārsūdzēšana aptur administratīvā akta darbību. Ņemot vērā minēto, lūdzam skaidrot projekta sākotnējās ietekmes novērtējuma ziņojumā (anotācijā), kāpēc nepieciešams noteikt, ka lēmuma par vienpusēju atkāpšanos no līguma apstrīdēšana un pārsūdzēšana neaptur tā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četrpadsmito, piecpadsmito un sešpadsmito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Nodokļa maksātājs par to pārstrādājamo plastmasas iepakojumu un kompozīta iepakojuma sastāvā esošo plastmasu, kas pārskata periodā nav pārstrādāts vai reģenerēts, nodokli aprēķina līdz nākamā gada 20. oktobrim. Aprēķināto nodokli nodokļa maksātājs par iepriekšējo gadu iemaksā vienotajā nodokļu kontā līdz nākamā gada 23. oktobrim. Ministru kabinets nosaka kārtību, kādā maksā nodokli par plastmasas iepakojumu un kompozīta iepakojuma sastāvā esošo plastmasu, kas pārskata periodā nav pārstrādāts vai reģenerēts.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Ja pārskata periodā tika pārstrādāts iepakojums, par kuru atbilstoši šā likuma 8. panta 1.</w:t>
            </w:r>
            <w:r w:rsidR="00000000" w:rsidRPr="00000000" w:rsidDel="00000000">
              <w:rPr>
                <w:vertAlign w:val="superscript"/>
                <w:rtl w:val="0"/>
              </w:rPr>
              <w:t xml:space="preserve">1</w:t>
            </w:r>
            <w:r w:rsidR="00000000" w:rsidRPr="00000000" w:rsidDel="00000000">
              <w:rPr>
                <w:rtl w:val="0"/>
              </w:rPr>
              <w:t xml:space="preserve"> daļas 2. punktam netika piemērots atbrīvojums no nodokļa samaksas, apsaimniekotājs informē par to nodokļa maksātāju. Samaksāto nodokļa summu ieskaita kā nodokļa avansa maksājumu.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Nodokļa maksātājs par vienreiz lietojamajiem plastmasu saturošiem izstrādājumiem un plastmasu saturošiem zvejas rīkiem nodokli aprēķina līdz nākamā gada 20. aprīlim. Aprēķināto nodokli nodokļa maksātājs par iepriekšējo gadu iemaksā vienotajā nodokļu kontā līdz nākamā gada 23.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noteikt, kādā termiņā Ministru kabinetam jāizdod projekta 17. pantā ietvertajā Likuma 27. panta 14. daļā minētie Ministru kabineta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4. pielikuma 3. punktā apzīmējumu “PM</w:t>
            </w:r>
            <w:r w:rsidR="00000000" w:rsidRPr="00000000" w:rsidDel="00000000">
              <w:rPr>
                <w:vertAlign w:val="subscript"/>
                <w:rtl w:val="0"/>
              </w:rPr>
              <w:t xml:space="preserve">10</w:t>
            </w:r>
            <w:r w:rsidR="00000000" w:rsidRPr="00000000" w:rsidDel="00000000">
              <w:rPr>
                <w:rtl w:val="0"/>
              </w:rPr>
              <w:t xml:space="preserve">” ar apzīmējumu “PM”.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projektu ar pārejas regulējumu saistībā ar projekta 11. un 23. pantā ietvertajiem grozījumiem par nodokļa maksāšanu par daļiņu PM10 emisiju gaisā, kas paredz, ka turpmāk nodoklis būs maksājams par visu daļiņu PM emisiju gaisā. No projekta izriet, ka nodoklis par visu daļiņu PM emisiju gaisā būs jāsāk maksāt uzreiz pēc projekta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 pielikuma 1. tabulu ar 2.5.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24. ietverto Likuma 6. pielikuma 1. tabulas 2.5. apakšpunktu, ņemot vērā to, ka Likuma 6. pielikuma 1. tabulā ir divas ailes ar nodokļa likmes apmēru (likme laikposmā no 2014. gada 1. janvāra līdz 2016. gada 31. decembrim un likme no 2017. gada 1. janvāra), savukārt projekta 24. punktā ietvertais regulējums paredz papildināt Likuma 6. pielikuma 1. tabulu ar trešo nodokļa likmes aili, kurā nebūs minēts, no kāda brīža piemērojama attiecīgā nodokļa likme. Vienlaikus norādām, ka no projekta izriet, ka regulējums par nodokļa maksāšanu par akumulatoru vai bateriju, kas paredzēta ceļu satiksmē izmantojama elektroautomobiļa vai hibrīdautomobiļa vilces nodrošināšanai, stājas spēkā vispārīgajā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projektu ar pārejas regulējumu attiecībā uz to nodokļu maksāšanas pienākumu, kam pārejas regulējumu neparedz projekta pārejas noteikumos ietvertais Likuma pārejas noteikumu 40., 42., 45., 46. un 47. punkts, piemēram, projekta 5. pantā ietvertajam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40., 41., 42., 43., 44., 45., 46. un 47.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Grozījumi šā likuma 3. panta 1.</w:t>
            </w:r>
            <w:r w:rsidR="00000000" w:rsidRPr="00000000" w:rsidDel="00000000">
              <w:rPr>
                <w:vertAlign w:val="superscript"/>
                <w:rtl w:val="0"/>
              </w:rPr>
              <w:t xml:space="preserve">1</w:t>
            </w:r>
            <w:r w:rsidR="00000000" w:rsidRPr="00000000" w:rsidDel="00000000">
              <w:rPr>
                <w:rtl w:val="0"/>
              </w:rPr>
              <w:t xml:space="preserve"> daļā, 6.</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1</w:t>
            </w:r>
            <w:r w:rsidR="00000000" w:rsidRPr="00000000" w:rsidDel="00000000">
              <w:rPr>
                <w:rtl w:val="0"/>
              </w:rPr>
              <w:t xml:space="preserve"> panta pirmajā daļā, 11.</w:t>
            </w:r>
            <w:r w:rsidR="00000000" w:rsidRPr="00000000" w:rsidDel="00000000">
              <w:rPr>
                <w:vertAlign w:val="superscript"/>
                <w:rtl w:val="0"/>
              </w:rPr>
              <w:t xml:space="preserve">2</w:t>
            </w:r>
            <w:r w:rsidR="00000000" w:rsidRPr="00000000" w:rsidDel="00000000">
              <w:rPr>
                <w:rtl w:val="0"/>
              </w:rPr>
              <w:t xml:space="preserve"> panta pirmajā daļā, IV nodaļas nosaukumā, 27. panta pirmās daļas 1. punktā un 7.</w:t>
            </w:r>
            <w:r w:rsidR="00000000" w:rsidRPr="00000000" w:rsidDel="00000000">
              <w:rPr>
                <w:vertAlign w:val="superscript"/>
                <w:rtl w:val="0"/>
              </w:rPr>
              <w:t xml:space="preserve">1</w:t>
            </w:r>
            <w:r w:rsidR="00000000" w:rsidRPr="00000000" w:rsidDel="00000000">
              <w:rPr>
                <w:rtl w:val="0"/>
              </w:rPr>
              <w:t xml:space="preserve"> daļā, 28. panta ceturtās daļas 3. punktā, 30. panta pirmajā daļā, 31. panta pirmās daļas 2. un 3. punktā par tekstilizstrādājumiem un 3. panta pirmās daļas 2. punkta “e” apakšpunkts, 4. panta pirmās daļas 12. punkts, 6.</w:t>
            </w:r>
            <w:r w:rsidR="00000000" w:rsidRPr="00000000" w:rsidDel="00000000">
              <w:rPr>
                <w:vertAlign w:val="superscript"/>
                <w:rtl w:val="0"/>
              </w:rPr>
              <w:t xml:space="preserve">1</w:t>
            </w:r>
            <w:r w:rsidR="00000000" w:rsidRPr="00000000" w:rsidDel="00000000">
              <w:rPr>
                <w:rtl w:val="0"/>
              </w:rPr>
              <w:t xml:space="preserve"> panta pirmās daļas 4. punkts, 9.</w:t>
            </w:r>
            <w:r w:rsidR="00000000" w:rsidRPr="00000000" w:rsidDel="00000000">
              <w:rPr>
                <w:vertAlign w:val="superscript"/>
                <w:rtl w:val="0"/>
              </w:rPr>
              <w:t xml:space="preserve">1</w:t>
            </w:r>
            <w:r w:rsidR="00000000" w:rsidRPr="00000000" w:rsidDel="00000000">
              <w:rPr>
                <w:rtl w:val="0"/>
              </w:rPr>
              <w:t xml:space="preserve"> un 26.</w:t>
            </w:r>
            <w:r w:rsidR="00000000" w:rsidRPr="00000000" w:rsidDel="00000000">
              <w:rPr>
                <w:vertAlign w:val="superscript"/>
                <w:rtl w:val="0"/>
              </w:rPr>
              <w:t xml:space="preserve">1 </w:t>
            </w:r>
            <w:r w:rsidR="00000000" w:rsidRPr="00000000" w:rsidDel="00000000">
              <w:rPr>
                <w:rtl w:val="0"/>
              </w:rPr>
              <w:t xml:space="preserve">pants stājas spēkā 2023. gada 1. aprīlī.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Ministru kabinets līdz 2023. gada 1. oktobrim izdod šā likuma 9.</w:t>
            </w:r>
            <w:r w:rsidR="00000000" w:rsidRPr="00000000" w:rsidDel="00000000">
              <w:rPr>
                <w:vertAlign w:val="superscript"/>
                <w:rtl w:val="0"/>
              </w:rPr>
              <w:t xml:space="preserve">1</w:t>
            </w:r>
            <w:r w:rsidR="00000000" w:rsidRPr="00000000" w:rsidDel="00000000">
              <w:rPr>
                <w:rtl w:val="0"/>
              </w:rPr>
              <w:t xml:space="preserve">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Grozījumi šā likuma 3. panta pirmās daļas 7. punktā, 4. panta pirmās daļas 11. punktā, 9. panta divpadsmitajā daļā, 23. panta septītajā daļā, 27. panta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Ministru kabinets līdz 2023. gada 1.oktobrim izdod šā likuma 27. panta 5.</w:t>
            </w:r>
            <w:r w:rsidR="00000000" w:rsidRPr="00000000" w:rsidDel="00000000">
              <w:rPr>
                <w:vertAlign w:val="superscript"/>
                <w:rtl w:val="0"/>
              </w:rPr>
              <w:t xml:space="preserve">1</w:t>
            </w:r>
            <w:r w:rsidR="00000000" w:rsidRPr="00000000" w:rsidDel="00000000">
              <w:rPr>
                <w:rtl w:val="0"/>
              </w:rPr>
              <w:t xml:space="preserve">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2023. gada 1.aprīlim  izdod šā likuma 6.</w:t>
            </w:r>
            <w:r w:rsidR="00000000" w:rsidRPr="00000000" w:rsidDel="00000000">
              <w:rPr>
                <w:vertAlign w:val="superscript"/>
                <w:rtl w:val="0"/>
              </w:rPr>
              <w:t xml:space="preserve">1 </w:t>
            </w:r>
            <w:r w:rsidR="00000000" w:rsidRPr="00000000" w:rsidDel="00000000">
              <w:rPr>
                <w:rtl w:val="0"/>
              </w:rPr>
              <w:t xml:space="preserve">panta astotajā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plastmasu saturošiem izstrādājumiem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2023. gada 1. aprīlī – attiecībā uz tabakas izstrādājumiem ar filtriem un filtriem, kas paredzēti lietošanai kopā ar tabakas izstrādājumiem un no akcīzes preču noliktavas tiek nodoti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2024. gada 1. oktobrī – attiecībā uz mitrajām salvetēm, baloniem un plastmasu saturošiem zvejas rīkiem.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46.Grozījumi šā likuma 24.pantā stājas spēkā 2024.gada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47.Grozījums šā likuma 1.pielikumā, kas paredz noteikt nodokļa likmi par ogļūdeņražu ieguvi, stāsies spēkā vienlaikus ar grozījumiem likumā “Par zemes dzīlēm” , kas paredz izslēgt valsts nodevu par ogļūdeņražu ieguvi.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pārejas noteikumos ietverto Likuma pārejas noteikumu 40. punktu, ņemot vērā to, ka no paredzētā regulējuma izriet, ka Likumā ietvertais regulējums par tekstilizstrādājumiem stāsies spēkā 2023. gada 1. aprīlī, taču šāda spēkā stāšanās nav noteikta projekta 1. pantā ietvertajam Likuma 1. panta 16.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22.12.2022. 08.54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22.12.2022. 08.54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