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"Teiču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neapstiprināt Valdības rīcības plānu piedāvātajā redakcijā un to pārskatīt, jo dokumenta īstenošana var negatīvi ietekmēt Latvijas bioekonomikas ilgtspēju un sabiedrības labbūtību Latvijā. Iebilstam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punktā 45.6. attiecībā uz meža apsaimniekošanu pausta konceptuāla nostāja pret dabas aizsardzību, neņemot vērā faktisko stāvokli jomā un esošo regulējumu. Šāda nostāja iezīmē arī atkāpšanos no ilgtermiņa Latvijas meža politikā (1998) un Meža likumā definētajiem meža ilgtspējīgas apsaimniekošanas principiem. Valdības rīcības plānā deklarēts uzstādījums "iestāties pret Zaļā kursa nesamērīgajām prasībām Eiropas Savienības regulējumā, kuras bremzē Latvijas mežsaimniecības attīstību un samazina uzņēmumu konkurētspēju pasaules tirgos", neskairojot, par kādām prasībām ir runa un kādi fakti, pētījumi vai novērtējumi liecina par to, ka ES prasības ir nesamērīgas un kavē mežsaimniecības attīstību. Nav analīzes, kas liecinātu, ka Latvijas meža nozares uzņēmumi nebūtu spējīgi konkurēt starptautiskajos tirgos un tas kaut kā būtu saistīts ar Zaļā kursa prasībām. Toties ir objektīvi dati, kas apliecina pretējo- Zemkopības ministrijas interneta lapā publicētais buklets "Meža nozare skaitļos un faktos" rāda, ka meža nozares uzņēmumu peļņa strauji pieaugusi un arī nozares eksporta apjoms ir audzis. Latvijas iedzīvotāju interesēs ir saglabāt un īstenot Latvijas meža politikā(1998) noteiktos ilgtspējas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Jātnieks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