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25-TA-865: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12. aprīļa noteikumos Nr. 208 "Iekārtu elektromagnētiskās saderības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Noteikumus ar 11.</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Atbilstības prezumpcija un tirgus uzraudzība aparātiem, kas atzīti par krīzē būtiskām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r w:rsidR="00000000" w:rsidRPr="00000000" w:rsidDel="00000000">
              <w:rPr>
                <w:vertAlign w:val="superscript"/>
                <w:rtl w:val="0"/>
              </w:rPr>
              <w:t xml:space="preserve">1</w:t>
            </w:r>
            <w:r w:rsidR="00000000" w:rsidRPr="00000000" w:rsidDel="00000000">
              <w:rPr>
                <w:rtl w:val="0"/>
              </w:rPr>
              <w:t xml:space="preserve"> Aparāti, kurus Eiropas Komisija ar īstenošanas aktu atzinusi par krīzē būtiskām precēm, uzskaitot piemērojamos standartus vai nosakot kopējas specifikācijas aparātiem, atbilst šo noteikumu būtiskajām  prasībām, uz kurām attiecas šie standarti, kopējās specifikācijas vai to daļas. Pēc iekšējā tirgus ārkārtas situācijas izbeigšanās vai deaktivizēšanās ražotājiem vairs nav iespējams paļauties uz atbilstības prezumpciju, ko nodrošina Eiropas Komisijas īstenošanas aktos norādītie standarti vai kopējās specifikācijas.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r w:rsidR="00000000" w:rsidRPr="00000000" w:rsidDel="00000000">
              <w:rPr>
                <w:vertAlign w:val="superscript"/>
                <w:rtl w:val="0"/>
              </w:rPr>
              <w:t xml:space="preserve">2</w:t>
            </w:r>
            <w:r w:rsidR="00000000" w:rsidRPr="00000000" w:rsidDel="00000000">
              <w:rPr>
                <w:rtl w:val="0"/>
              </w:rPr>
              <w:t xml:space="preserve"> Ja vien nav pietiekama iemesla uzskatīt, ka aparāti, uz kuriem attiecas standarti vai kopējās specifikācijas, kas minētas 84.</w:t>
            </w:r>
            <w:r w:rsidR="00000000" w:rsidRPr="00000000" w:rsidDel="00000000">
              <w:rPr>
                <w:vertAlign w:val="superscript"/>
                <w:rtl w:val="0"/>
              </w:rPr>
              <w:t xml:space="preserve">1</w:t>
            </w:r>
            <w:r w:rsidR="00000000" w:rsidRPr="00000000" w:rsidDel="00000000">
              <w:rPr>
                <w:rtl w:val="0"/>
              </w:rPr>
              <w:t xml:space="preserve"> punktā, rada risku cilvēku veselībai vai drošībai, aparātus, kas atbilst minētajiem standartiem vai kopējām specifikācijām un kas laisti tirgū, uzskata par atbilstošiem šo noteikumu būtiskajām  pamatprasībām pēc iekšējā tirgus ārkārtas situācijas režīma izbeigšanās vai deaktivizēšanas.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r w:rsidR="00000000" w:rsidRPr="00000000" w:rsidDel="00000000">
              <w:rPr>
                <w:vertAlign w:val="superscript"/>
                <w:rtl w:val="0"/>
              </w:rPr>
              <w:t xml:space="preserve">3</w:t>
            </w:r>
            <w:r w:rsidR="00000000" w:rsidRPr="00000000" w:rsidDel="00000000">
              <w:rPr>
                <w:rtl w:val="0"/>
              </w:rPr>
              <w:t xml:space="preserve"> Tirgus uzraudzības iestādes uzraudzību prioritāri veic tiem aparātiem, kas atzīti par krīzē būtisku preci.”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Komisijas īstenošanas akti var būt arī Eiropas Savienības direktīvas vai lēmumi, savukārt noteikumu projektā pieļaujams atsaukties vienīgi uz tieši piemērojamiem Eiropas Savienības normatīvajiem aktiem - regulām, tādēļ lūdzam izvērtēt un atbilstoši precizēt vai svītrot atsauces uz Eiropas Komisijas īstenošanas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Noteikumus ar 11.</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Atbilstības prezumpcija un tirgus uzraudzība aparātiem, kas atzīti par krīzē būtiskām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r w:rsidR="00000000" w:rsidRPr="00000000" w:rsidDel="00000000">
              <w:rPr>
                <w:vertAlign w:val="superscript"/>
                <w:rtl w:val="0"/>
              </w:rPr>
              <w:t xml:space="preserve">1</w:t>
            </w:r>
            <w:r w:rsidR="00000000" w:rsidRPr="00000000" w:rsidDel="00000000">
              <w:rPr>
                <w:rtl w:val="0"/>
              </w:rPr>
              <w:t xml:space="preserve"> Aparāti, kurus Eiropas Komisija ar īstenošanas aktu atzinusi par krīzē būtiskām precēm, uzskaitot piemērojamos standartus vai nosakot kopējas specifikācijas aparātiem, atbilst šo noteikumu būtiskajām  prasībām, uz kurām attiecas šie standarti, kopējās specifikācijas vai to daļas. Pēc iekšējā tirgus ārkārtas situācijas izbeigšanās vai deaktivizēšanās ražotājiem vairs nav iespējams paļauties uz atbilstības prezumpciju, ko nodrošina Eiropas Komisijas īstenošanas aktos norādītie standarti vai kopējās specifikācijas.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r w:rsidR="00000000" w:rsidRPr="00000000" w:rsidDel="00000000">
              <w:rPr>
                <w:vertAlign w:val="superscript"/>
                <w:rtl w:val="0"/>
              </w:rPr>
              <w:t xml:space="preserve">2</w:t>
            </w:r>
            <w:r w:rsidR="00000000" w:rsidRPr="00000000" w:rsidDel="00000000">
              <w:rPr>
                <w:rtl w:val="0"/>
              </w:rPr>
              <w:t xml:space="preserve"> Ja vien nav pietiekama iemesla uzskatīt, ka aparāti, uz kuriem attiecas standarti vai kopējās specifikācijas, kas minētas 84.</w:t>
            </w:r>
            <w:r w:rsidR="00000000" w:rsidRPr="00000000" w:rsidDel="00000000">
              <w:rPr>
                <w:vertAlign w:val="superscript"/>
                <w:rtl w:val="0"/>
              </w:rPr>
              <w:t xml:space="preserve">1</w:t>
            </w:r>
            <w:r w:rsidR="00000000" w:rsidRPr="00000000" w:rsidDel="00000000">
              <w:rPr>
                <w:rtl w:val="0"/>
              </w:rPr>
              <w:t xml:space="preserve"> punktā, rada risku cilvēku veselībai vai drošībai, aparātus, kas atbilst minētajiem standartiem vai kopējām specifikācijām un kas laisti tirgū, uzskata par atbilstošiem šo noteikumu būtiskajām  pamatprasībām pēc iekšējā tirgus ārkārtas situācijas režīma izbeigšanās vai deaktivizēšanas.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r w:rsidR="00000000" w:rsidRPr="00000000" w:rsidDel="00000000">
              <w:rPr>
                <w:vertAlign w:val="superscript"/>
                <w:rtl w:val="0"/>
              </w:rPr>
              <w:t xml:space="preserve">3</w:t>
            </w:r>
            <w:r w:rsidR="00000000" w:rsidRPr="00000000" w:rsidDel="00000000">
              <w:rPr>
                <w:rtl w:val="0"/>
              </w:rPr>
              <w:t xml:space="preserve"> Tirgus uzraudzības iestādes uzraudzību prioritāri veic tiem aparātiem, kas atzīti par krīzē būtisku preci.”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norādot, ka nav iespējams paļauties uz atbilstības prezumpciju, ko nodrošina attiecīgie standarti vai kopējās specifikācijas </w:t>
            </w:r>
            <w:r w:rsidR="00000000" w:rsidRPr="00000000" w:rsidDel="00000000">
              <w:rPr>
                <w:u w:val="single"/>
                <w:rtl w:val="0"/>
              </w:rPr>
              <w:t xml:space="preserve">nākamajā dienā</w:t>
            </w:r>
            <w:r w:rsidR="00000000" w:rsidRPr="00000000" w:rsidDel="00000000">
              <w:rPr>
                <w:rtl w:val="0"/>
              </w:rPr>
              <w:t xml:space="preserve"> pēc iekšējā tirgus ārkārtas situācijas izbeigšanās, tādējādi nodrošinot attiecīgās normas nepārprotamu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Noteikumus ar 11.</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Atbilstības prezumpcija un tirgus uzraudzība aparātiem, kas atzīti par krīzē būtiskām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r w:rsidR="00000000" w:rsidRPr="00000000" w:rsidDel="00000000">
              <w:rPr>
                <w:vertAlign w:val="superscript"/>
                <w:rtl w:val="0"/>
              </w:rPr>
              <w:t xml:space="preserve">1</w:t>
            </w:r>
            <w:r w:rsidR="00000000" w:rsidRPr="00000000" w:rsidDel="00000000">
              <w:rPr>
                <w:rtl w:val="0"/>
              </w:rPr>
              <w:t xml:space="preserve"> Aparāti, kurus Eiropas Komisija ar īstenošanas aktu atzinusi par krīzē būtiskām precēm, uzskaitot piemērojamos standartus vai nosakot kopējas specifikācijas aparātiem, atbilst šo noteikumu būtiskajām  prasībām, uz kurām attiecas šie standarti, kopējās specifikācijas vai to daļas. Pēc iekšējā tirgus ārkārtas situācijas izbeigšanās vai deaktivizēšanās ražotājiem vairs nav iespējams paļauties uz atbilstības prezumpciju, ko nodrošina Eiropas Komisijas īstenošanas aktos norādītie standarti vai kopējās specifikācijas.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r w:rsidR="00000000" w:rsidRPr="00000000" w:rsidDel="00000000">
              <w:rPr>
                <w:vertAlign w:val="superscript"/>
                <w:rtl w:val="0"/>
              </w:rPr>
              <w:t xml:space="preserve">2</w:t>
            </w:r>
            <w:r w:rsidR="00000000" w:rsidRPr="00000000" w:rsidDel="00000000">
              <w:rPr>
                <w:rtl w:val="0"/>
              </w:rPr>
              <w:t xml:space="preserve"> Ja vien nav pietiekama iemesla uzskatīt, ka aparāti, uz kuriem attiecas standarti vai kopējās specifikācijas, kas minētas 84.</w:t>
            </w:r>
            <w:r w:rsidR="00000000" w:rsidRPr="00000000" w:rsidDel="00000000">
              <w:rPr>
                <w:vertAlign w:val="superscript"/>
                <w:rtl w:val="0"/>
              </w:rPr>
              <w:t xml:space="preserve">1</w:t>
            </w:r>
            <w:r w:rsidR="00000000" w:rsidRPr="00000000" w:rsidDel="00000000">
              <w:rPr>
                <w:rtl w:val="0"/>
              </w:rPr>
              <w:t xml:space="preserve"> punktā, rada risku cilvēku veselībai vai drošībai, aparātus, kas atbilst minētajiem standartiem vai kopējām specifikācijām un kas laisti tirgū, uzskata par atbilstošiem šo noteikumu būtiskajām  pamatprasībām pēc iekšējā tirgus ārkārtas situācijas režīma izbeigšanās vai deaktivizēšanas.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r w:rsidR="00000000" w:rsidRPr="00000000" w:rsidDel="00000000">
              <w:rPr>
                <w:vertAlign w:val="superscript"/>
                <w:rtl w:val="0"/>
              </w:rPr>
              <w:t xml:space="preserve">3</w:t>
            </w:r>
            <w:r w:rsidR="00000000" w:rsidRPr="00000000" w:rsidDel="00000000">
              <w:rPr>
                <w:rtl w:val="0"/>
              </w:rPr>
              <w:t xml:space="preserve"> Tirgus uzraudzības iestādes uzraudzību prioritāri veic tiem aparātiem, kas atzīti par krīzē būtisku preci.”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vienveidot noteikumu projektā lietoto terminoloģiju (būtiskas prasības un būtiskas pamatprasības) vai skaidrot, ar ko prasības noteikumu projekta kontekstā atšķiras no pamatprasībām.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skaidrojot, kā nacionālajā tiesību sistēmā (noteikumu projektā) pārņemta Eiropas Parlamenta un Padomes 2024.gada 9.oktobra Direktīvas Nr. 2024/2749 ar ko groza Direktīvas 2000/14/EK, 2006/42/EK, 2010/35/ES, 2014/29/ES, 2014/30/ES, 2014/33/ES, 2014/34/ES, 2014/35/ES, 2014/53/ES un 2014/68/ES attiecībā uz iekšējā tirgus ārkārtas situācijas izraisītām atbilstības novērtēšanas, atbilstības prezumpcijas, kopēju specifikāciju pieņemšanas un tirgus uzraudzības ārkārtas procedūrām, 5. panta 2. apakšpunkta pirmā daļa (grozītās direktīvas 40.a panta 1.-3. punkts), trešā daļa (grozītās direktīvas 40.c panta 2. punkts) un 5. panta 3. apakšpunkts. Kā arī aicinām svītrot norādi, ka 5. punkta 2. apakšpunkta otrā daļa netiek pārņemta, jo iepriekš 5.4. apakšsadaļas 1. tabulā jau ir norādīts uz šīs vienības pārņemšanu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25-TA-865</w:t>
    </w:r>
    <w:r>
      <w:br/>
    </w:r>
    <w:r w:rsidR="00000000" w:rsidRPr="00000000" w:rsidDel="00000000">
      <w:rPr>
        <w:rtl w:val="0"/>
      </w:rPr>
      <w:t xml:space="preserve">Izdrukāts 04.11.2025. 20.18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25-TA-865</w:t>
    </w:r>
    <w:r>
      <w:br/>
    </w:r>
    <w:r w:rsidR="00000000" w:rsidRPr="00000000" w:rsidDel="00000000">
      <w:rPr>
        <w:rtl w:val="0"/>
      </w:rPr>
      <w:t xml:space="preserve">Izdrukāts 04.11.2025. 20.18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Atzinumi_25-TA-865.docx</dc:title>
</cp:coreProperties>
</file>

<file path=docProps/custom.xml><?xml version="1.0" encoding="utf-8"?>
<Properties xmlns="http://schemas.openxmlformats.org/officeDocument/2006/custom-properties" xmlns:vt="http://schemas.openxmlformats.org/officeDocument/2006/docPropsVTypes"/>
</file>