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uzbūvētu jaunu ēku vai pabeigtu jaunbūvi ar ekonomiski pamatotu dzīvokļu platību vismaz 2500 m2, nodrošinot A klases energoefektivitātes sasniegšanu, pilnu iekšējo aprīkojumu un teritorijas labiekārtošanu, projekta izmaksas varētu sasniegt 5 milj. euro. Tādā gadījumā 18. punktā paredzētie 2 milj. euro būs tikai 40% no projekta izmaksām un pastāv augsts risks tik ļoti vajadzīgos projektus nerealizēt.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22.08.2023.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22.08.2023.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