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septembra noteikumos Nr. 523 "Rakstniecības un mūzikas muzeja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ietverti jauni Rakstniecības un mūzikas muzeja sniegto maksas pakalpojumu veidi, kam pievienotās vērtības nodoklis (PVN) netiek piemērots saskaņā ar Pievienotās vērtības nodokļa likuma 52.panta pirmās daļas 17.punkta "d" apakšpunktu. Lūdzam papildināt anotāciju ar informāciju par PVN piemērošan jauniem pakalpojumu veidiem.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Lukjanska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10.05.2023.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10.05.2023.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Atzinumi_23-TA-1142.docx</dc:title>
</cp:coreProperties>
</file>

<file path=docProps/custom.xml><?xml version="1.0" encoding="utf-8"?>
<Properties xmlns="http://schemas.openxmlformats.org/officeDocument/2006/custom-properties" xmlns:vt="http://schemas.openxmlformats.org/officeDocument/2006/docPropsVTypes"/>
</file>