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mazināt administratīvo slogu saistībā ar ģeodēziskā punkta piederības (valsts vai pašvaldība) noteikšanu un veicinātu sabiedrības izpratni par ģeodēziskā punkta piederību. Lūdzam veikt sekojošus grozījumus Noteikumu projekta 1. pielikumā “Informācijas sistēmas objektu klasifikators” 6. punktā “Ģeodēziskā tīkla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930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55"/>
              <w:gridCol w:w="8744"/>
              <w:gridCol w:w="8744"/>
              <w:gridCol w:w="8744"/>
              <w:tblGridChange w:id="0">
                <w:tblGrid>
                  <w:gridCol w:w="255"/>
                  <w:gridCol w:w="8744"/>
                  <w:gridCol w:w="8744"/>
                  <w:gridCol w:w="8744"/>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6</w:t>
                  </w:r>
                </w:p>
              </w:tc>
              <w:tc>
                <w:tcPr>
                  <w:shd w:fill="ffffff"/>
                  <w:vAlign w:val="center"/>
                  <w:noWrap w:val="true"/>
                  <w:vMerge w:val="restart"/>
                  <w:gridSpan w:val="3"/>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Ģeodēziskā tīkla punkti</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1000000002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globālās pozicionēšanas tīkla 0. klases punkts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1000000003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ģeomagnētiskā tīkla 1. klases punkts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1000000004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gravimetriskā tīkla 1. klases punkts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u w:val="single"/>
                      <w:rtl w:val="0"/>
                    </w:rPr>
                    <w:t xml:space="preserve">6.4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u w:val="single"/>
                      <w:rtl w:val="0"/>
                    </w:rPr>
                    <w:t xml:space="preserve">1000000005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valsts ģeodēziskā tīkla punkts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punkts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u w:val="single"/>
                      <w:rtl w:val="0"/>
                    </w:rPr>
                    <w:t xml:space="preserve">6.5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u w:val="single"/>
                      <w:rtl w:val="0"/>
                    </w:rPr>
                    <w:t xml:space="preserve">1000000006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vietējā ģeodēziskā tīkla punkts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punkts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pielikuma 14. punktā aizsargjoslas ap ģeodēziskā tīkla punktiem noteiktas kā “daudzstūris”, taču atbilstoši Aizsargjoslu likuma 20. panta otrajai daļai aizsargjoslu ap ģeodēziskā tīkla punktiem nosaka rādiusā no ģeodēziskā punkta centra. Ņemot vērā minēto, ierosinām 2. pielikuma 14. punktā elementa tipu “daudzstūris” aizstāt ar “aplis”.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mazinātu administratīvo slogu saistībā ar ģeodēziskā punkta piederības (valsts vai pašvaldība) noteikšanu, kā arī veicinātu sabiedrības izpratni par ģeodēziskā punkta piederību, lūdzam Noteikumu projekta 2. pielikuma “Vienotais apgrūtināto teritoriju un nekustamā īpašuma objekta apgrūtinājumu klasifikators” 14. punktā "Aizsargjoslas ap ģeodēziskā tīkla punktiem" izdarīt sekojošus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1111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16"/>
              <w:gridCol w:w="10298"/>
              <w:gridCol w:w="10298"/>
              <w:gridCol w:w="10298"/>
              <w:tblGridChange w:id="0">
                <w:tblGrid>
                  <w:gridCol w:w="516"/>
                  <w:gridCol w:w="10298"/>
                  <w:gridCol w:w="10298"/>
                  <w:gridCol w:w="1029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w:t>
                  </w:r>
                </w:p>
              </w:tc>
              <w:tc>
                <w:tcPr>
                  <w:shd w:fill="ffffff"/>
                  <w:vAlign w:val="center"/>
                  <w:noWrap w:val="true"/>
                  <w:vMerge w:val="restart"/>
                  <w:gridSpan w:val="3"/>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Aizsargjoslas ap ģeodēziskā tīkla punktiem</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7316010102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ekspluatācijas aizsargjoslas teritorija ap globālās pozicionēšanas tīkla 0. klases punktu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aplis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7316010103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ekspluatācijas aizsargjoslas teritorija ap ģeomagnētiskā tīkla 1. klases punktu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aplis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7316010104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ekspluatācijas aizsargjoslas teritorija ap gravimetriskā tīkla 1. klases punktu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aplis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14.4.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u w:val="single"/>
                      <w:rtl w:val="0"/>
                    </w:rPr>
                    <w:t xml:space="preserve">7316010105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ekspluatācijas aizsargjoslas teritorija ap valsts ģeodēziskā tīkla punktu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aplis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14.5.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u w:val="single"/>
                      <w:rtl w:val="0"/>
                    </w:rPr>
                    <w:t xml:space="preserve">7316010106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ekspluatācijas aizsargjoslas teritorija ap vietējā ģeodēziskā tīkla punktu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aplis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12.06.2023. 07.56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12.06.2023. 07.56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