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24-TA-2188: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2007. gada 27. marta noteikumos Nr. 220 "Zāļu iegādes, uzglabāšanas, izlietošanas, uzskaites un iznīcināšanas kārtība ārstniecības iestādēs un sociālās aprūpes institūcijās"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noteikumu projekta "Grozījumi Ministru kabineta 2007.gada 27.marta noteikumos Nr.220 "Zāļu iegādes, uzglabāšanas, izlietošanas, uzskaites un iznīcināšanas kārtība ārstniecības iestādēs un sociālās aprūpes institūcijās"" sākotnējās ietekmes (ex-ante) novērtējuma ziņojumu (anotāciju) (turpmāk – anotācija) papildināt ar pamatojumu par nepieciešamību grozīt Ministru kabineta 2007.gada 27.marta noteikumus Nr.220 "Zāļu iegādes, uzglabāšanas, izlietošanas, uzskaites un iznīcināšanas kārtība ārstniecības iestādēs un sociālās aprūpes institūcijās" (turpmāk – noteikumi Nr.220).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2000.gada 26.septembra noteikumi Nr.330 "Vakcinācijas noteikumi" (turpmāk - noteikumi Nr.330) citstarp ir izdoti, pamatojoties uz Epidemioloģiskās drošības likuma 31.panta piekto daļu, kas noteic, ka Ministru kabinets nosaka obligātās minimālā nodrošinājuma prasības vakcinācijas veikšanai. Jau šobrīd noteikumu Nr.330 18. un 18.</w:t>
            </w:r>
            <w:r w:rsidR="00000000" w:rsidRPr="00000000" w:rsidDel="00000000">
              <w:rPr>
                <w:vertAlign w:val="superscript"/>
                <w:rtl w:val="0"/>
              </w:rPr>
              <w:t xml:space="preserve">1</w:t>
            </w:r>
            <w:r w:rsidR="00000000" w:rsidRPr="00000000" w:rsidDel="00000000">
              <w:rPr>
                <w:rtl w:val="0"/>
              </w:rPr>
              <w:t xml:space="preserve"> punktā ir ietvertas prasības par vakcīnu uzglabāšanu ledusskapī pirms vakcinācijas veikšanas. Tādējādi anotācijā ir nepieciešams sniegt pamatojumu, kāpēc konkrētajā gadījumā nav pietiekami tikai ar grozījumu veikšanu noteikumos Nr.330, kuros ir ietverts speciālais regulējums attiecībā uz nodrošinājuma prasībām vakcinācijas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detalizētu pamatojumu, ka Farmācijas likuma 5.panta 7.punktā Ministru kabinetam ietvertais pilnvarojums (noteikt kārtību, kādā ārstniecības iestādes un sociālās aprūpes institūcijas iegādājas, uzglabā un izlieto zāles) ietver arī pilnvarojumu noteikt kārtību, kādā ārstniecības iestādes saņem no citām ārstniecības iestādēm un nodod citām ārstniecības iestādēm vakcīnas.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24-TA-2188</w:t>
    </w:r>
    <w:r>
      <w:br/>
    </w:r>
    <w:r w:rsidR="00000000" w:rsidRPr="00000000" w:rsidDel="00000000">
      <w:rPr>
        <w:rtl w:val="0"/>
      </w:rPr>
      <w:t xml:space="preserve">Izdrukāts 31.10.2024. 11.29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24-TA-2188</w:t>
    </w:r>
    <w:r>
      <w:br/>
    </w:r>
    <w:r w:rsidR="00000000" w:rsidRPr="00000000" w:rsidDel="00000000">
      <w:rPr>
        <w:rtl w:val="0"/>
      </w:rPr>
      <w:t xml:space="preserve">Izdrukāts 31.10.2024. 11.29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Atzinumi_24-TA-2188.docx</dc:title>
</cp:coreProperties>
</file>

<file path=docProps/custom.xml><?xml version="1.0" encoding="utf-8"?>
<Properties xmlns="http://schemas.openxmlformats.org/officeDocument/2006/custom-properties" xmlns:vt="http://schemas.openxmlformats.org/officeDocument/2006/docPropsVTypes"/>
</file>