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13. augusta noteikumos Nr. 543 "Metodiskās vadības institūcijas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veikta publiskā apspriešana, lūdzam attiecīgi aizpildīt anotācijas 6.sadaļu.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minēt arī Veselības ministriju, jo tā atbilstoši Ministru kabineta noteikumu 4.punktam izvērtē ārstniecības iestādes vai augstākās izglītības iestādes atbilstību noteiktajiem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Ministrija izvērtē ārstniecības iestādes vai augstākās izglītības iestādes atbilstību šo noteikumu </w:t>
            </w:r>
            <w:r w:rsidR="00000000" w:rsidRPr="00000000" w:rsidDel="00000000">
              <w:rPr>
                <w:rtl w:val="0"/>
              </w:rPr>
              <w:t xml:space="preserve">2. </w:t>
            </w:r>
            <w:r w:rsidR="00000000" w:rsidRPr="00000000" w:rsidDel="00000000">
              <w:rPr>
                <w:rtl w:val="0"/>
              </w:rPr>
              <w:t xml:space="preserve">vai</w:t>
            </w:r>
            <w:r w:rsidR="00000000" w:rsidRPr="00000000" w:rsidDel="00000000">
              <w:rPr>
                <w:rtl w:val="0"/>
              </w:rPr>
              <w:t xml:space="preserve">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minētajiem kritērijiem un atbilstības gadījumā piešķir tai metodiskās vadības institūcijas statusu noteiktā medicīnas jomā uz pieciem gadiem. Ja tiek konstatēts, ka ārstniecības iestāde vai augstākās izglītības iestāde neatbilst 2. vai 3. punktā minētajiem kritērijiem, ministrija pieņem lēmumu atteikt metodiskās vadības institūcijas statusa piešķiršanu.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4.punktu, sasaistot to ar apakšpunktiem. Vēršam uzmanību, ka šobrīd ir neskaidrs, pēc kādiem kritērijiem tiks vērtēta ārstniecības iestādes vai augstākās izglītības iestādes atbilstība, proti, atbilstoši 2. vai 3.punktam, vai arī atbilstoši uzskaitītajiem 4.punkta apakšpunktiem. Ja ar šiem apakšpunktiem tiek domāti prim punkti, attiecīgi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jo attiecīgais punkts ir bez teksta.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15.07.2025.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25-TA-1199</w:t>
    </w:r>
    <w:r>
      <w:br/>
    </w:r>
    <w:r w:rsidR="00000000" w:rsidRPr="00000000" w:rsidDel="00000000">
      <w:rPr>
        <w:rtl w:val="0"/>
      </w:rPr>
      <w:t xml:space="preserve">Izdrukāts 15.07.2025.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Atzinumi_25-TA-1199.docx</dc:title>
</cp:coreProperties>
</file>

<file path=docProps/custom.xml><?xml version="1.0" encoding="utf-8"?>
<Properties xmlns="http://schemas.openxmlformats.org/officeDocument/2006/custom-properties" xmlns:vt="http://schemas.openxmlformats.org/officeDocument/2006/docPropsVTypes"/>
</file>