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tā uzsākšanas Lauku atbalsta dienestam nosūta šādu informāciju atzīmes izdarīšanai datubāzē pie ieraksta par konkrēto suni: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paredzēts, ka kriminālprocesu par noziedzīgo nodarījumu saskaņā ar Krimināllikuma 230.</w:t>
            </w:r>
            <w:r w:rsidR="00000000" w:rsidRPr="00000000" w:rsidDel="00000000">
              <w:rPr>
                <w:vertAlign w:val="superscript"/>
                <w:rtl w:val="0"/>
              </w:rPr>
              <w:t xml:space="preserve">1 </w:t>
            </w:r>
            <w:r w:rsidR="00000000" w:rsidRPr="00000000" w:rsidDel="00000000">
              <w:rPr>
                <w:rtl w:val="0"/>
              </w:rPr>
              <w:t xml:space="preserve">pantu uzsākusī iestāde trīs darbdienu laikā pēc tā uzsākšanas Lauku atbalsta dienestam nosūta attiecīgu informāciju atzīmes izdarīšanai datubāzē. Savukārt projekta sākotnējās ietekmes novērtējuma ziņojumā (turpmāk - anotācija) sniegts skaidrojums, ka institūcija, uzsākot kriminālprocesu par Krimināllikuma 230.</w:t>
            </w:r>
            <w:r w:rsidR="00000000" w:rsidRPr="00000000" w:rsidDel="00000000">
              <w:rPr>
                <w:vertAlign w:val="superscript"/>
                <w:rtl w:val="0"/>
              </w:rPr>
              <w:t xml:space="preserve">1</w:t>
            </w:r>
            <w:r w:rsidR="00000000" w:rsidRPr="00000000" w:rsidDel="00000000">
              <w:rPr>
                <w:rtl w:val="0"/>
              </w:rPr>
              <w:t xml:space="preserve"> pantu, par konkrēto suni un tā īpašnieku vai turētāju trīs darbdienu laikā izdarīs atzīmi datubāzē pie ieraksta par konkrēto suni par kriminālprocesa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precizēt projekta 6. punktu vai anotācijā ietverto informāciju, lai viennozīmīgi būtu skaidrs kā jārīkojas iestādei, kas uzsākusi kriminālprocesu par Krimināllikuma 230.</w:t>
            </w:r>
            <w:r w:rsidR="00000000" w:rsidRPr="00000000" w:rsidDel="00000000">
              <w:rPr>
                <w:vertAlign w:val="superscript"/>
                <w:rtl w:val="0"/>
              </w:rPr>
              <w:t xml:space="preserve">1</w:t>
            </w:r>
            <w:r w:rsidR="00000000" w:rsidRPr="00000000" w:rsidDel="00000000">
              <w:rPr>
                <w:rtl w:val="0"/>
              </w:rPr>
              <w:t xml:space="preserve"> pantā paredzēto noziedzīgo nodarījumu, proti, jāizdara atzīme datubāzē vai jānosūta informācija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nav skaidrs, kāpēc gadījumā, kad uzsākts kriminālprocess, paredzēts informāciju datubāzē iekļaut ar Laku atbalsta dienesta starpniecību, savukārt administratīvā pārkāpuma procesa gadījumā Lauku atbalsta dienesta starpniecība nav paredzēta. Ņemot vērā minēto,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suns provocējis uzbrukumu </w:t>
            </w:r>
            <w:r w:rsidR="00000000" w:rsidRPr="00000000" w:rsidDel="00000000">
              <w:rPr>
                <w:rtl w:val="0"/>
              </w:rPr>
              <w:t xml:space="preserve">Dzīvnieku aizsardzības likuma</w:t>
            </w:r>
            <w:r w:rsidR="00000000" w:rsidRPr="00000000" w:rsidDel="00000000">
              <w:rPr>
                <w:rtl w:val="0"/>
              </w:rPr>
              <w:t xml:space="preserve"> </w:t>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panta otrajā daļā minētajos pārkāpumos vai noziedzīgā nodarījumā, tā īpašnieks vai turētājs ievēro šo noteikumu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 punktā ietverto atsauci uz Dzīvnieku aizsardzības likuma 18.</w:t>
            </w:r>
            <w:r w:rsidR="00000000" w:rsidRPr="00000000" w:rsidDel="00000000">
              <w:rPr>
                <w:vertAlign w:val="superscript"/>
                <w:rtl w:val="0"/>
              </w:rPr>
              <w:t xml:space="preserve">6</w:t>
            </w:r>
            <w:r w:rsidR="00000000" w:rsidRPr="00000000" w:rsidDel="00000000">
              <w:rPr>
                <w:rtl w:val="0"/>
              </w:rPr>
              <w:t xml:space="preserve"> panta otrajā daļā minētajiem pārkāpumiem, ņemot vērā, ka attiecīgajā likuma normā nav minēti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Dzīvnieku aizsardzības likuma 18.</w:t>
            </w:r>
            <w:r w:rsidR="00000000" w:rsidRPr="00000000" w:rsidDel="00000000">
              <w:rPr>
                <w:vertAlign w:val="superscript"/>
                <w:rtl w:val="0"/>
              </w:rPr>
              <w:t xml:space="preserve">6</w:t>
            </w:r>
            <w:r w:rsidR="00000000" w:rsidRPr="00000000" w:rsidDel="00000000">
              <w:rPr>
                <w:rtl w:val="0"/>
              </w:rPr>
              <w:t xml:space="preserve"> panta otrā daļa (likuma redakcijā, kas stāsies spēkā 2026. gada 1. jūlijā) paredz, ka, ja administratīvā pārkāpuma procesā par šā likuma 58. pantā minētajiem pārkāpumiem vai kriminālprocesā par Krimināllikuma 230.</w:t>
            </w:r>
            <w:r w:rsidR="00000000" w:rsidRPr="00000000" w:rsidDel="00000000">
              <w:rPr>
                <w:vertAlign w:val="superscript"/>
                <w:rtl w:val="0"/>
              </w:rPr>
              <w:t xml:space="preserve">1</w:t>
            </w:r>
            <w:r w:rsidR="00000000" w:rsidRPr="00000000" w:rsidDel="00000000">
              <w:rPr>
                <w:rtl w:val="0"/>
              </w:rPr>
              <w:t xml:space="preserve"> pantā paredzēto noziedzīgo nodarījumu tiek konstatēts, ka tajā iesaistītais suns ir provocējis uzbrukumu, tad šā panta pirmajā daļā noteiktie ierobežojumi un aizliegumi attiecas arī uz iesaistīto suni, izvērtēt projekta 4. punktā ietvertā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27.06.2026.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27.06.2026.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