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35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 apakšpunktu, lūdzam nodrošināt, ka noteikumu projekta anotācijā ir sniegts skaidrojums par visu būtisko izmaiņu Ministru kabineta 2024. gada 9. janvāra noteikumos Nr. 35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(turpmāk - noteikumi Nr. 35) būtību, nepieciešamību un mērķi, tostarp arī noteikumu projekta 11. un 27. punktā ietvertā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Nr. 35 62.2., 62.3., 62.4. un 62.5. apakšpunktu ar konkrētu standartlikmju apmēru. Norādām, lai gan anotācijā minēts, ka minētajos apakšpunktos standartlikmes svītrotas, lai nebūtu nepieciešams atkārtoti veikt grozījumus noteikumos Nr. 35, tomēr atbilstoši indivīda pamattiesībām zināt savas tiesības konkrētam standartlikmju apmēram būtu jābūt noregulētam noteikumu projektā (no noteikumu projekta un tā anotācijas neizriet, ka MC darba programma, uz kuru norādīts anotācijā, būtu saistoša un pieejama pētniecības pieteikumu iesniedzējiem -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1.1.1.9. pasākumā atbalsts tiks sniegts labuma guvēju (pētniecības pieteikumi) līmenī, nevis finansējuma saņēmēja līmenī, līdz ar to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53. panta 2. punkta nav attiecināms (obligāti piemērojams) 1.1.1.9. pasākumā. Ar regulas Nr. 2021/1060 53. panta 2. punktā minēto “darbību” tiek saprastas darbības finansējuma saņēmēja līmenī, kas noteiktas noteikumu Nr. 35 43. punktā un pētniecības pieteikumu līmenī ir iespējams piemērot faktiskās izmaksas. Saistībā ar minēto lūdzam noteikumu projekta anotāciju papildināt ar tiesību normās balstītu pamatojumu anotācijā sniegtajai attiecīgās regulas interpretācijai. Tostarp norādām, ka ar darbībām minētās regulas finanšu instrumentu kontekstā saprotams arī programmieguldījums finanšu instrumentā un sekojošais finansiālais atbalsts, kuru ar minētā finanšu instrumenta starpniecību sniedz galasaņēmējiem.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ieviestas arī Komisijas 2014. gada 17. jūnija Regulas (ES) Nr. 651/2014, ar ko noteiktas atbalsta kategorijas atzīst par saderīgām ar iekšējo tirgu, piemērojot Līguma 107. un 108. pantu, prasības, lūdzam atbilstoši noteikumu Nr. 617 9.19. apakšpunktam papildināt noteikumu projekta anotācijas 5. sadaļu ar informāciju par minētās regulas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no 2025. līdz 2028. gadam 2014. – 2020. gada plānošanas perioda “Darbības programmas "Izaugsme un nodarbinātība" 1.1.1. specifiskā atbalsta mērķa "Palielināt Latvijas zinātnisko institūciju pētniecisko un inovatīvo kapacitāti un spēju piesaistīt ārējo finansējumu, ieguldot cilvēkresursos un infrastruktūrā" 1.1.1.2. pasākuma "Pēcdoktorantūras pētniecības atbalsts"” pēcuzraudzības funkcijas nodrošināšanai, kas ir noteikts Ministru kabineta 2016.gada 19.janvāra noteikumi Nr.50 “Darbības programmas "Izaugsme un nodarbinātība" 1.1.1. specifiskā atbalsta mērķa "Palielināt Latvijas zinātnisko institūciju pētniecisko un inovatīvo kapacitāti un spēju piesaistīt ārējo finansējumu, ieguldot cilvēkresursos un infrastruktūrā" 1.1.1.2. pasākuma "Pēcdoktorantūras pētniecības atbalsts" īstenošanas noteikumu” 73. punktā, jautājumu par nepieciešamo finansējumu 101 814 euro apmērā skatīt likumprojekta "Par valsts budžetu 2025. gadam un budžeta ietvaru 2025., 2026., 2027. un 2028. gadam" sagatavošanas procesā kopā ar visu ministriju un citu centrālo valsts iestāžu iesniegtajiem prioritāro pasākumu pieteikumiem, ņemot vērā valsts budžeta finansiālās iespējas. Savukārt, ja minētā budžeta likumprojekta sagatavošanas procesā netiek atbalstīta papildu finansējuma piešķiršana, paredzētais ir nodrošināms atbilstoši Izglītības un zinātnes ministrijas rīcībā esošajam finansējumam.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2016. gada 19. janvāra noteikumu Nr. 50 “Darbības programmas "Izaugsme un nodarbinātība" 1.1.1. specifiskā atbalsta mērķa "Palielināt Latvijas zinātnisko institūciju pētniecisko un inovatīvo kapacitāti un spēju piesaistīt ārējo finansējumu, ieguldot cilvēkresursos un infrastruktūrā" 1.1.1.2. pasākuma "Pēcdoktorantūras pētniecības atbalsts" īstenošanas noteikumu” 73. punktā nav paredzēta attiecīga Latvijas zinātņu akadēmijas kā finansējuma saņēmēja funkcija. Ņemot vērā, ka ar noteikumu projekta 17. punktu paredzēts svītrot pienākumu veikt 1.1.1.2. pasākuma "Pēcdoktorantūras pētniecības atbalsts" ilgtspējas uzraudzību, lūdzam nodrošināt grozījumu veikšanu minētajos Ministru kabineta noteikumos, papildinot noteikumu projekta anotācijas 4. sadaļu ar skaidrojumu par minēto saistīto grozījumu nepieciešamību un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w:t>
            </w:r>
            <w:r w:rsidR="00000000" w:rsidRPr="00000000" w:rsidDel="00000000">
              <w:rPr>
                <w:vertAlign w:val="superscript"/>
                <w:rtl w:val="0"/>
              </w:rPr>
              <w:t xml:space="preserve">1</w:t>
            </w:r>
            <w:r w:rsidR="00000000" w:rsidRPr="00000000" w:rsidDel="00000000">
              <w:rPr>
                <w:rtl w:val="0"/>
              </w:rPr>
              <w:t xml:space="preserve"> atbalstu sniedz saskaņā ar Komisijas regulu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vai ar Komisijas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skaidrot, kādos gadījumos atbalstu sniedz saskaņā ar katru no noteikumu projekta 22. punktā minētajām regulām.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3</w:t>
            </w:r>
            <w:r w:rsidR="00000000" w:rsidRPr="00000000" w:rsidDel="00000000">
              <w:rPr>
                <w:rtl w:val="0"/>
              </w:rPr>
              <w:t xml:space="preserve"> Ja atbalstu pasākuma ietvaros apvieno ar atbalstu citā valsts atbalsta programmā vai individuālā atbalsta projektā, pētniecības pieteikumā paredzētās atbalstāmās darbības var uzsākt tikai pēc tam, kad pētniecības pieteikums ir iesniegts atbalsta piešķīrējiestādēs.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projektā regulēt vienīgi nosacījumus noteikumu projektā paredzētā atbalsta pasākuma īstenošanai, nevis nosacījumus attiecībā uz citām valsts atbalsta programmām vai individuālā atbalsta projektiem, atbilstoši svītrojot vai precizējot noteikumu projekta 27.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tiesiskās noteiktības nolūkā noteikumu projekta 24. punktā precīzāk noteikt, kas ir domāts ar piešķīrējiestādēm, nepieciešamības gadījumā nodrošinot korektu (t.i., citiem normatīvajiem aktiem) atbilstošu terminoloģijas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pēcdoktoranta (personāla) atlīdzības izmaksas nepārsniedz 3 860 </w:t>
            </w:r>
            <w:r w:rsidR="00000000" w:rsidRPr="00000000" w:rsidDel="00000000">
              <w:rPr>
                <w:i w:val="1"/>
                <w:rtl w:val="0"/>
              </w:rPr>
              <w:t xml:space="preserve">euro</w:t>
            </w:r>
            <w:r w:rsidR="00000000" w:rsidRPr="00000000" w:rsidDel="00000000">
              <w:rPr>
                <w:rtl w:val="0"/>
              </w:rPr>
              <w:t xml:space="preserve"> mēnesī un gadā tās nepārsniedz 46 320 </w:t>
            </w:r>
            <w:r w:rsidR="00000000" w:rsidRPr="00000000" w:rsidDel="00000000">
              <w:rPr>
                <w:i w:val="1"/>
                <w:rtl w:val="0"/>
              </w:rPr>
              <w:t xml:space="preserve">euro</w:t>
            </w:r>
            <w:r w:rsidR="00000000" w:rsidRPr="00000000" w:rsidDel="00000000">
              <w:rPr>
                <w:rtl w:val="0"/>
              </w:rPr>
              <w:t xml:space="preserve">, tai skaitā valsts sociālās apdrošināšanas obligātās iemaksas un citas sociālās garantijas, kuras noteiktas normatīvajos aktos darba tiesību un atlīdzības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29. punkta un tā anotācijā sniegtā skaidrojuma nerodas pārliecība, kā minētajā punktā paredzētais grozījums sader ar tiesiskās paļāvības principu, tostarp nav skaidrs, kā tas ietekmēs jau izsniegto atbalstu un personas, kas atbalstam jau pieteikušās saskaņā ar noteikumiem Nr. 35. Skaidrojam, ka tiesiskās paļāvības princips noteic, ka privātpersona var paļauties, ka iestādes rīcība ir tiesiska un konsekventa, tai skaitā persona var paļauties, ka tā noteiktajā laikā varēs īstenot tai iegūtās tiesības. Satversmes tiesa ir norādījusi (sk. </w:t>
            </w:r>
            <w:r w:rsidR="00000000" w:rsidRPr="00000000" w:rsidDel="00000000">
              <w:rPr>
                <w:i w:val="1"/>
                <w:rtl w:val="0"/>
              </w:rPr>
              <w:t xml:space="preserve">2009. gada 26. novembra spriedumu lietā Nr. 2009-08-01</w:t>
            </w:r>
            <w:r w:rsidR="00000000" w:rsidRPr="00000000" w:rsidDel="00000000">
              <w:rPr>
                <w:rtl w:val="0"/>
              </w:rPr>
              <w:t xml:space="preserve">),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noteikumu projekta anotācijā izvērsti skaidrot, kā paredzētie grozījumi noteikumos Nr. 35 ietekmēs personas, kuras jau ir saņēmušas atbalstu minēto noteikumu ietvaros vai pieteikušās atbalstam (vai minētajām personām pasliktināsies tiesiski iegūtais stāvoklis), tai skaitā, vai minētās personas ir informētas par iespējamo grozījumu un tās brīvprātīgi piekritušas šādam grozījumam. Ja atbilstošu skaidrojumu nav iespējams sniegt, lūdzam svītrot noteikumu projekta 29.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tiek pārkāpti Komisijas regulas Nr. 651/2014 nosacījumi, pētniecības pieteikuma iesniedzējam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un tā anotācijā skaidrot, kurā brīdī pētniecības projekta iesniedzējs kļūst par pētniecības projekta īstenotāju, nepieciešamības gadījumā, nodrošinot noteikumu projektā konsekventu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no 2025. līdz 2028. gadam 2014. – 2020. gada plānošanas perioda “Darbības programmas "Izaugsme un nodarbinātība" 1.1.1. specifiskā atbalsta mērķa "Palielināt Latvijas zinātnisko institūciju pētniecisko un inovatīvo kapacitāti un spēju piesaistīt ārējo finansējumu, ieguldot cilvēkresursos un infrastruktūrā" 1.1.1.2. pasākuma "Pēcdoktorantūras pētniecības atbalsts"” pēcuzraudzības funkcijas nodrošināšanai, kas ir noteikts Ministru kabineta 2016.gada 19.janvāra noteikumi Nr.50 “Darbības programmas "Izaugsme un nodarbinātība" 1.1.1. specifiskā atbalsta mērķa "Palielināt Latvijas zinātnisko institūciju pētniecisko un inovatīvo kapacitāti un spēju piesaistīt ārējo finansējumu, ieguldot cilvēkresursos un infrastruktūrā" 1.1.1.2. pasākuma "Pēcdoktorantūras pētniecības atbalsts" īstenošanas noteikumu” 73. punktā, jautājumu par nepieciešamo finansējumu 101 814 euro apmērā skatīt likumprojekta "Par valsts budžetu 2025. gadam un budžeta ietvaru 2025., 2026., 2027. un 2028. gadam" sagatavošanas procesā kopā ar visu ministriju un citu centrālo valsts iestāžu iesniegtajiem prioritāro pasākumu pieteikumiem, ņemot vērā valsts budžeta finansiālās iespējas. Savukārt, ja minētā budžeta likumprojekta sagatavošanas procesā netiek atbalstīta papildu finansējuma piešķiršana, paredzētais ir nodrošināms atbilstoši Izglītības un zinātnes ministrijas rīcībā esošajam finansējumam.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lēmuma projekta 3. punktu, nodrošinot viegli uztveramu uzdevumu un izvairoties no konstrukcijas (noteikt, ka (..) kas ir noteikts (..) jautājumu skatīt), kā arī šī punkta pēdējā teikumā precīzi nosakot, kas ir domāts ar vārdu "paredzētais".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nepieciešamo finansējumu 101 814 </w:t>
            </w:r>
            <w:r w:rsidR="00000000" w:rsidRPr="00000000" w:rsidDel="00000000">
              <w:rPr>
                <w:i w:val="1"/>
                <w:rtl w:val="0"/>
              </w:rPr>
              <w:t xml:space="preserve">euro</w:t>
            </w:r>
            <w:r w:rsidR="00000000" w:rsidRPr="00000000" w:rsidDel="00000000">
              <w:rPr>
                <w:rtl w:val="0"/>
              </w:rPr>
              <w:t xml:space="preserve"> apmērā izmaksu segšanai, lai nodrošinātu pēcuzraudzības funkciju saskaņā ar Ministru kabineta 2016.gada 19.janvāra noteikumu Nr.50 “Darbības programmas "Izaugsme un nodarbinātība" 1.1.1. specifiskā atbalsta mērķa "Palielināt Latvijas zinātnisko institūciju pētniecisko un inovatīvo kapacitāti un spēju piesaistīt ārējo finansējumu, ieguldot cilvēkresursos un infrastruktūrā" 1.1.1.2. pasākuma "Pēcdoktorantūras pētniecības atbalsts" īstenošanas noteikumu” 73. punktu, skatīt likumprojekta "Par valsts budžetu 2025. gadam un budžeta ietvaru 2025., 2026., 2027. un 2028. gadam" sagatavošanas izskatīšanas procesā kopā ar visu ministriju un citu centrālo valsts iestāžu iesniegtajiem prioritāro pasākumu pieteikumiem, ņemot vērā valsts budžeta finansiālās iespējas. Savukārt, ja minētā likumprojekta sagatavošanas un izskatīšanas procesā netiek atbalstīta papildu finansējuma piešķiršana, minētās izmaksas sedzamas atbilstoši Izglītības un zinātnes ministrijas rīcībā esošajam finansējumam."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Projekta ietvaros </w:t>
            </w:r>
            <w:r w:rsidR="00000000" w:rsidRPr="00000000" w:rsidDel="00000000">
              <w:rPr>
                <w:i w:val="1"/>
                <w:rtl w:val="0"/>
              </w:rPr>
              <w:t xml:space="preserve">de minimis</w:t>
            </w:r>
            <w:r w:rsidR="00000000" w:rsidRPr="00000000" w:rsidDel="00000000">
              <w:rPr>
                <w:rtl w:val="0"/>
              </w:rPr>
              <w:t xml:space="preserve"> atbalstu nepiešķir, ja </w:t>
            </w:r>
            <w:r w:rsidR="00000000" w:rsidRPr="00000000" w:rsidDel="00000000">
              <w:rPr>
                <w:i w:val="1"/>
                <w:rtl w:val="0"/>
              </w:rPr>
              <w:t xml:space="preserve">de minimis</w:t>
            </w:r>
            <w:r w:rsidR="00000000" w:rsidRPr="00000000" w:rsidDel="00000000">
              <w:rPr>
                <w:rtl w:val="0"/>
              </w:rPr>
              <w:t xml:space="preserve"> atbalsts ir saistīts ar kādu no Komisijas regulas Nr. 2023/2831 1. panta 1. punktā noteiktajām nozarēm un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Projekta ietvaros de minimis atbalstu nepiešķir, ja pētniecības pieteikuma iesniedzējs darbojas kādā no Komisijas regulas Nr. 2023/2831 1. panta 1. punktā noteiktajām nozarēm vai veic kādu no minētajā punktā norādītajām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1</w:t>
            </w:r>
            <w:r w:rsidR="00000000" w:rsidRPr="00000000" w:rsidDel="00000000">
              <w:rPr>
                <w:rtl w:val="0"/>
              </w:rPr>
              <w:t xml:space="preserve"> Pētniecības pieteikuma īstenotājs nodrošina sasniegto rezultātu ilgtspēju vismaz vienu gadu pēc pētniecības pieteikuma pabeigšanas, tai skaitā pētniecības pieteikuma ietvaros izveidotās darbavietas ilgtspēju un pētniecības virziena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un tā anotācijā skaidrot, kas ir domāts par pētniecības pieteikuma pabeigšanu, nepieciešamības gadījumā redakcionāli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24-TA-1436</w:t>
    </w:r>
    <w:r>
      <w:br/>
    </w:r>
    <w:r w:rsidR="00000000" w:rsidRPr="00000000" w:rsidDel="00000000">
      <w:rPr>
        <w:rtl w:val="0"/>
      </w:rPr>
      <w:t xml:space="preserve">Izdrukāts 05.07.2024.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24-TA-1436</w:t>
    </w:r>
    <w:r>
      <w:br/>
    </w:r>
    <w:r w:rsidR="00000000" w:rsidRPr="00000000" w:rsidDel="00000000">
      <w:rPr>
        <w:rtl w:val="0"/>
      </w:rPr>
      <w:t xml:space="preserve">Izdrukāts 05.07.2024.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Atzinumi_24-TA-1436.docx</dc:title>
</cp:coreProperties>
</file>

<file path=docProps/custom.xml><?xml version="1.0" encoding="utf-8"?>
<Properties xmlns="http://schemas.openxmlformats.org/officeDocument/2006/custom-properties" xmlns:vt="http://schemas.openxmlformats.org/officeDocument/2006/docPropsVTypes"/>
</file>