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atbalsta piešķiršanas kārtība lauksaimniecības un zivsaimniecības tirgus veicināšanai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atbalsta lauksaimniecības un zivsaimniecības tirgus veicināšanai (turpmāk – atbalsts) pasākumus, atbalsta apmēru, atbalsta saņemšanas nosacījumus, pieteikšanās kārtību, atbalsta piešķiršanas kārtību un uzraudzības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Lauksaimniecības un lauku attīstības likuma 5. panta 3.</w:t>
            </w:r>
            <w:r w:rsidR="00000000" w:rsidRPr="00000000" w:rsidDel="00000000">
              <w:rPr>
                <w:vertAlign w:val="superscript"/>
                <w:rtl w:val="0"/>
              </w:rPr>
              <w:t xml:space="preserve">1</w:t>
            </w:r>
            <w:r w:rsidR="00000000" w:rsidRPr="00000000" w:rsidDel="00000000">
              <w:rPr>
                <w:rtl w:val="0"/>
              </w:rPr>
              <w:t xml:space="preserve"> daļa paredz, ka Ministru kabinets nosaka Valsts atbalsta pasākumus lauksaimniecības un meža nozares attīstībai, valsts atbalsta apmēru un piešķiršanas kritērijus, savukārt ceturtā daļa nosaka, ka kārtību, kādā tiek piešķirts valsts un Eiropas Savienības atbalsts lauksaimniecībai, un kārtību, kādā tiek piešķirts valsts un Eiropas Savienības atbalsts lauku un zivsaimniecības attīstībai,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Ministru kabineta 2009. gada 3. februāra noteikumu Nr. 108 "Normatīvo aktu projektu sagatavošanas noteikumi" (turpmāk - noteikumi Nr. 108) 100.2. apakšpunktu, lūdzam salāgot noteikumu projekta 1. punktu ar noteikumu projekta izdošanas tiesisko pamatu, tai skaitā nepieciešamības gadījumā papildinot arī norādi par noteikumu projekta izdošanas tiesisko pamatu ar atsauci uz Lauksaimniecības un lauku attīstības likuma 5. panta septīto daļu, ja paredzēts noteikumu projektā regulēt arī uzraudzības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atbalsta lauksaimniecības un zivsaimniecības tirgus veicināšanai (turpmāk – atbalsts) pasākumus, atbalsta apmēru, atbalsta piešķiršanas kritērijus un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Atbalsta mērķis ir popularizēt  lauksaimniecības un zivsaimniecības nozares un veicināt lauksaimniecības un pārtikas produktu eksportu.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atbalsta mērķis ir noteikts ne vien noteikumu projekta 2. punktā, bet arī 37., 57. un 73. punktā. Attiecīgi lūdzam izvērtēt un svītrot vai precizēt noteikumu projekta 2. punktu vai pārējos punktus, precīzāk nosakot kāds mērķis tiek skaidrots.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Šajos noteikumos minētajos pasākumos iesniegumu un tam pievienotos dokumentus, kā arī pārskatus pretendents iesniedz Lauku atbalsta dienesta elektroniskajā pieteikšanās sistēmā vai elektroniska dokumenta veidā atbilstoši normatīvajiem aktiem par elektronisko dokumentu noformēšanu.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lietota nekonsekventa terminoloģija attiecībā uz terminiem "pretendents", "atbalsta pretendents" un "atbalsta saņēmējs". Attiecīgi lūdzam izvērtēt un precizēt noteikumu projektu, nodrošinot vienveidīgu un konsekventu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Pasākumā sniegtais atbalsts par vienām un tām pašām attiecināmajām izmaksām nevar pārklāties ar atbalstu no citiem līdzīgiem atbalsta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6. punktā un tā anotācijā skaidrot, kādos gadījumos konstatējama līdzība ar citiem atbalsta pasākumiem, norādot konkrētas pasākumu būtiskās pazīmes, kas būtu jāsalīdzina, vai precīzāk noteikt, kādos gadījumos var tikt sniegts atbalsts no vairākiem atbalsta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Lauku atbalsta dienests divu mēnešu laikā pēc pārkāpuma konstatēšanas atbilstoši normatīvajiem aktiem par kārtību, kādā administrē un uzrauga Eiropas Lauksaimniecības garantiju fondu un Eiropas Lauksaimniecības fondu lauku attīstībai, kā arī valsts un Eiropas Savienības atbalstu lauksaimniecībai un lauku attīstībai 2023.–2027. gada plānošanas periodā, pieprasa atbalsta atmaksu, ja pretendents sniedzis nepatiesu informāciju vai pārkāpis šo noteikumu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anotāciju papildināt ar pamatotu skaidrojumu termiņa - divi mēneši pēc pārkāpuma konstatēšanas - noteikšanai atbalsta atmaksas pieprasīšanai (kas neatbilst arī noteikumu projekta 8. punktā minētajos normatīvajos aktos noteiktajam termiņam), nepieciešamības gadījumā precizējot noteikumu projekta 8. punktu. Paužam bažas, ka attiecīgs termiņš varētu būt nesamērīgs efektīvai atbalta atgūšanai.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Lauku atbalsta dienests divu mēnešu laikā pēc pārkāpuma konstatēšanas atbilstoši normatīvajiem aktiem par kārtību, kādā administrē un uzrauga Eiropas Lauksaimniecības garantiju fondu un Eiropas Lauksaimniecības fondu lauku attīstībai, kā arī valsts un Eiropas Savienības atbalstu lauksaimniecībai un lauku attīstībai 2023.–2027. gada plānošanas periodā, pieprasa atbalsta atmaksu, ja pretendents sniedzis nepatiesu informāciju vai pārkāpis šo noteikumu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8. punktā norādīt, kam pretendents (nav skaidrs, vai šeit domāts atbalsta saņēmējs) sniedz nepatiesu informāciju,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Lai saņemtu atbalstu, institūts līdz 2023.gada 25. jūlijam iesniedz Lauku atbalsta dienestā šādus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11. punkta (un arī citām noteikumu projekta vienībām, kuras konstruētas līdzīgi) nav saprotams, vai iesniedzams ir iesniegums un tam pievienojami dokumenti, kā izriet no noteikumu projekta 4. punkta, vai iesniedzami ir vairāki dokumenti.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Pēc šo noteikumu 11. punktā minēto dokumentu saņemšanas Lauku atbalsta dienests tos izvērtē un mēneša laikā pieņem lēmumu par atbalsta piešķiršanu vai par atteikumu piešķirt atbalstu. Lēmumā par atbalsta piešķiršanu paredz: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projektā (12. punktā u.c. līdzīgos gadījumos) skaidri norādīt, kādos gadījumos tiek pieņemts lēmums par atbalsta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priekšapmaksu 95 procentu apmērā no kopējās atbalsta summas;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un tā anotācijas nav saprotams, kas ir domāts ar priekšapmaksu un uz ko tā attiecināma, kā arī ar ko kopējā izdevumu tāmes summa (sk., piem. 11.2.3. apakšpunktu) atšķiras no kopējās atbalsta summas. Attiecīgi lūdzam atbilstoši precizēt noteikumu projektu (tai skaitā 12.1. apakšpunktu) un sniegt atbilstošu skaidrojumu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saņemtā atbalsta un ar to saistītās finanšu plūsmas nodalīšanu no citām atbalsta saņēmēja darbības finanšu plūsmām.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pamatojums lēmumā noteikt individuālu finanšu plūsmu nodalīšanu, tai skaitā nav saprotams, kādi apstākļi ir izvērtējami, lai noteiktu šādu pienākumu. Attiecīgi lūdzam izvērtēt un svītrot noteikumu projekta 12.2. apakšpunktu un 67.2. apakšpunktu, tā vietā nepieciešamības gadījumā paredzot atbilstošu noteikumu projekta nosacījumu.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Institūts var izdarīt precizējumus šo noteikumu 11. punktā minētajos dokumentos, iesniedzot Lauku atbalsta dienestā pamatojumu par grozījumu nepieciešamību. Ja institūta iesniegtais pamatojums atbilst šīs nodaļas prasībām, Lauku atbalsta dienests izdara grozījumus šo noteikumu 12. punktā minētajā lēmumā.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13. un 68. punktā skaidri norādīt precizējumu (grozījumu) izdarīšanas kārtību, norādot, kas konkrēti ir iesniedzams, proti, vai iesniedzams ir arī precizētais iesniegums vai cits dokuments. Papildus lūdzam izvērtēt un skaidrot, vai minētos dokumentus pieļaujams precizēt arī lēmuma par atbalsta piešķiršanas procesa ietvaros, nepieciešamības gadījumā papildinot noteikumu projektu ar atbilstošu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Institūts ar plašsaziņas līdzekļu starpniecību, izmantojot arī institūta tīmekļvietni, publicē informāciju par: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15. punktā u.c. vienībās līdzīgos gadījumos paredzēt termiņu, kādā veicamas attiecīgās darbības, tādējādi nodrošinot nepārprotamu attiecīgo normu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pārskatu par piešķirto atbalstu sadalījumā pa atbalsta saņēmējiem.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12.2. un 17.4. apakšpunkta nav skaidri saprotams, kas noteikumu projektā ir saprotams ar atbalsta saņēmēju, proti, vai tas ir institūts vai arī citas personas. Attiecīgi lūdzam precizēt minētos apakšpunktus un sniegt atbilstošu skaidrojumu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Institūts dalībai kopstendā piešķir līdzfinansējumu saskaņā ar Komisijas 2013. gada 18. decembra Regulu (EK)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 (turpmāk – regula Nr. 1407/2013) vai Komisijas 2013. gada 18. decembra Regulu (EK)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(Eiropas Savienības Oficiālais Vēstnesis, 2013. gada 24. decembris, Nr. L 352) (turpmāk – regula Nr. 1408/2013), ievērojot šādas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18. punkta ievaddaļā skaidri noteikt, uz kuru tiesību subjektu vai subjektiem ir attiecināmas minētā punkta tālākajos apakšpunktos ietvertās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atbalstu šo noteikumu 2.2. apakšnodaļā minētajiem pretendentiem drīkst kumulēt ar citu </w:t>
            </w:r>
            <w:r w:rsidR="00000000" w:rsidRPr="00000000" w:rsidDel="00000000">
              <w:rPr>
                <w:i w:val="1"/>
                <w:rtl w:val="0"/>
              </w:rPr>
              <w:t xml:space="preserve">de minimis</w:t>
            </w:r>
            <w:r w:rsidR="00000000" w:rsidRPr="00000000" w:rsidDel="00000000">
              <w:rPr>
                <w:rtl w:val="0"/>
              </w:rPr>
              <w:t xml:space="preserve"> atbalstu līdz regulas Nr. 1407/2013 3. panta 2. punktā vai regulas Nr. 1408/2013 3. panta 3.a punktā noteiktajam attiecīgajam robežlielumam saskaņā ar regulas Nr. 1407/2013 5. panta 1. punktu vai regulas Nr. 1408/2013 5. panta 1. un 2. punktu, kā arī ar citu valsts atbalstu attiecībā uz vienām un tām pašām attiecināmajām izmaksām vai valsts atbalstu tam pašam riska finansējuma pasākumam, ja ar šo kumulāciju netiek pārsniegta attiecīgā maksimālā atbalsta intensitāte vai atbalsta summa, kura konkrētajā gadījumā īpašiem apstākļiem noteikta attiecīgajā valsts atbalsta programmā vai Eiropas Komisijas lēmumā, saskaņā ar regulas Nr. 1407/2013 5. panta 2. punktu vai regulas Nr. 1408/2013 5. panta 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regula Nr. 1408/2013 paredz, ka kumulēt var līdz regulas (ES) Nr. 1407/2013 3. panta 2. punktā (5. panta 1. punkts) un Komisijas 2007. gada 24. jūlija Regulā (EK) Nr. 875/2007 par EK līguma 87. un 88. panta piemērošanu </w:t>
            </w:r>
            <w:r w:rsidR="00000000" w:rsidRPr="00000000" w:rsidDel="00000000">
              <w:rPr>
                <w:i w:val="1"/>
                <w:rtl w:val="0"/>
              </w:rPr>
              <w:t xml:space="preserve">de minimis</w:t>
            </w:r>
            <w:r w:rsidR="00000000" w:rsidRPr="00000000" w:rsidDel="00000000">
              <w:rPr>
                <w:rtl w:val="0"/>
              </w:rPr>
              <w:t xml:space="preserve"> atbalstam zivsaimniecības nozarē un par Regulas (EK) Nr. 1860/2004 grozīšanu (turpmāk - regula Nr. 875/2007) minētajam robežlielumam (5. panta 2. punkts). Savukārt no noteikumu projekta 18.2. apakšpunkta nav viennozīmīgi skaidrs, līdz kādam robežlielumam var atbalstu kumulēt, kā arī nav skaidrs saprotams pamatojums kumulēt līdz regulas Nr. 1408/2013 3. panta 3.a punktā noteiktajam robežlielumam, kā arī kumulēt saskaņā ar regulas Nr. 1408/2013 5. panta 2. punktā noteikto, ņemot vērā, ka regula Nr. 875/2007 zaudējusi spēku. Attiecīgi lūdzam izvērtēt un atbilstoši precizēt noteikumu projekta 18.2. apakšpunktu un sniegt atbilstošu skaidrojumu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atbalstu šo noteikumu 2.2. apakšnodaļā minētajiem pretendentiem drīkst kumulēt ar citu </w:t>
            </w:r>
            <w:r w:rsidR="00000000" w:rsidRPr="00000000" w:rsidDel="00000000">
              <w:rPr>
                <w:i w:val="1"/>
                <w:rtl w:val="0"/>
              </w:rPr>
              <w:t xml:space="preserve">de minimis</w:t>
            </w:r>
            <w:r w:rsidR="00000000" w:rsidRPr="00000000" w:rsidDel="00000000">
              <w:rPr>
                <w:rtl w:val="0"/>
              </w:rPr>
              <w:t xml:space="preserve"> atbalstu līdz regulas Nr. 1407/2013 3. panta 2. punktā vai regulas Nr. 1408/2013 3. panta 3.a punktā noteiktajam attiecīgajam robežlielumam saskaņā ar regulas Nr. 1407/2013 5. panta 1. punktu vai regulas Nr. 1408/2013 5. panta 1. un 2. punktu, kā arī ar citu valsts atbalstu attiecībā uz vienām un tām pašām attiecināmajām izmaksām vai valsts atbalstu tam pašam riska finansējuma pasākumam, ja ar šo kumulāciju netiek pārsniegta attiecīgā maksimālā atbalsta intensitāte vai atbalsta summa, kura konkrētajā gadījumā īpašiem apstākļiem noteikta attiecīgajā valsts atbalsta programmā vai Eiropas Komisijas lēmumā, saskaņā ar regulas Nr. 1407/2013 5. panta 2. punktu vai regulas Nr. 1408/2013 5. panta 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2013. gada 18. decembra Regulas (EK)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5. panta 2. punkts un Komisijas 2013. gada 18. decembra Regulas (EK) Nr. 1408/2013 par Līguma par Eiropas Savienības darbību 107. un 108. panta piemērošanu de minimis atbalstam lauksaimniecības nozarē 5. panta 3. punkts noteic, ka </w:t>
            </w:r>
            <w:r w:rsidR="00000000" w:rsidRPr="00000000" w:rsidDel="00000000">
              <w:rPr>
                <w:i w:val="1"/>
                <w:rtl w:val="0"/>
              </w:rPr>
              <w:t xml:space="preserve">de minimis</w:t>
            </w:r>
            <w:r w:rsidR="00000000" w:rsidRPr="00000000" w:rsidDel="00000000">
              <w:rPr>
                <w:rtl w:val="0"/>
              </w:rPr>
              <w:t xml:space="preserve"> atbalstu nedrīkst kumulēt ar valsts atbalstu attiecībā uz vienām un tām pašām attiecināmajām izmaksām vai valsts atbalstu tam pašam riska finansējuma pasākumam, ja šīs kumulācijas rezultātā tiktu pārsniegta attiecīgā maksimālā atbalsta intensitāte vai atbalsta summa, kāda konkrētā gadījuma īpašajiem apstākļiem noteikta </w:t>
            </w:r>
            <w:r w:rsidR="00000000" w:rsidRPr="00000000" w:rsidDel="00000000">
              <w:rPr>
                <w:u w:val="single"/>
                <w:rtl w:val="0"/>
              </w:rPr>
              <w:t xml:space="preserve">Komisijas grupu atbrīvojuma regulā vai lēmumā</w:t>
            </w:r>
            <w:r w:rsidR="00000000" w:rsidRPr="00000000" w:rsidDel="00000000">
              <w:rPr>
                <w:rtl w:val="0"/>
              </w:rPr>
              <w:t xml:space="preserve">. Attiecīgi lūdzam izvērtēt un precizēt noteikumu projekta 18.2. un 65.2. apakšpunktu, kas ietver atsauci uz valsts atbalsta programmu vai Eiropas Komisijas lēmumu (nav arī skaidrs, par kādu Eiropas Komisijas lēmumu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iesniedz institūtā iesniegumu (</w:t>
            </w:r>
            <w:r w:rsidR="00000000" w:rsidRPr="00000000" w:rsidDel="00000000">
              <w:rPr>
                <w:rtl w:val="0"/>
              </w:rPr>
              <w:t xml:space="preserve">​</w:t>
            </w:r>
            <w:r w:rsidR="00000000" w:rsidRPr="00000000" w:rsidDel="00000000">
              <w:rPr>
                <w:rtl w:val="0"/>
              </w:rPr>
              <w:t xml:space="preserve">1. pielikumu</w:t>
            </w:r>
            <w:r w:rsidR="00000000" w:rsidRPr="00000000" w:rsidDel="00000000">
              <w:rPr>
                <w:rtl w:val="0"/>
              </w:rPr>
              <w:t xml:space="preserve">), kas sagatavots datorrakstā latviešu valodā;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23.1. apakšpunktā norādi "kas sagatavots datorrakstā latviešu valodā" kā Valsts valodas likumā ietvertā regulējuma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 pretendents vienlaikus darbojas vienā vai vairākās nozarēs, tas nodrošina darbību vai izmaksu nodalīšanu atbilstoši regulas Nr. 1408/2013 1. panta 2. un 3. punktam vai regulas Nr. 1407/2013 1. panta 2.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24. un 70. punktā skaidrāk norādīt, kādās nozarēs pretendentam jādarbojas, izdarot atsauces uz attiecīgām regulu vienībām, ņemot vērā, ka norāde uz darbošanos vienlaikus vienā vai vairākās nozarēs ir vispārīga un nav viennozīmīgi skaidra.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Informāciju par izmaksāto </w:t>
            </w:r>
            <w:r w:rsidR="00000000" w:rsidRPr="00000000" w:rsidDel="00000000">
              <w:rPr>
                <w:i w:val="1"/>
                <w:rtl w:val="0"/>
              </w:rPr>
              <w:t xml:space="preserve">de minimis</w:t>
            </w:r>
            <w:r w:rsidR="00000000" w:rsidRPr="00000000" w:rsidDel="00000000">
              <w:rPr>
                <w:rtl w:val="0"/>
              </w:rPr>
              <w:t xml:space="preserve"> atbalstu saskaņā regulas Nr. 1408/2013 6. panta 4. punktu un regulas Nr. 1407/2013 6. panta 4. punktu atbalsta saņēmējs glabā 10 gadus no atbalsta saņemšanas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25. punktā ietvertais regulējums, iespējams, dublē šo noteikumu 18.4. apakšpunktā ietverto pienākumu. Attiecīgi lūdzam izvērtēt un atbilstoši precizēt noteikumu projektu, nodrošinot, ka nedublējas attiecīgais tieskais regulējums, vai sniegt atbilstošu skaidrojumu par minētajās noteikumu projekta vienībās ietvertajiem pienākumiem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 pretendents atbilst regulas Nr. 1407/2013 1. panta 1. punkta vai regulas Nr. 1408/2013 1. panta 1. punkta prasībām un šo noteikumu 18.1. apakšpunktā, kā arī 19. punktā minētajām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26.3. apakšpunktā un 59. punktā salāgot attiecīgā minētajās vienībās ietvertā nosacījuma izteiksmi, nodrošinot, ka tā ir vienveidīga. Alternatīvi lūdzam noteikumu projekta anotācijā skaidrot, kādēļ tas nav nepieciešams un ar ko saturiski atšķiras minētie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pretendentam nav nodokļu vai valsts sociālās apdrošināšanas obligāto iemaksu parādu, vai Valsts ieņēmumu dienests ir pieņēmis lēmumu par nodokļu maksājuma termiņu pagarināšanu vai atlikšanu uz laiku līdz vienam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1. pielikumu ar noteikumu projekta 32.3. apakšpunktu, kas paredz alternatīvu nosacījumu, ka Valsts ieņēmumu dienests ir pieņēmis lēmumu par nodokļu maksājuma termiņu pagarināšanu vai atlikšanu uz laiku līdz vienam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 nevalstiskā organizācija vismaz divus gadus ir reģistrēta biedrību un nodibinājumu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39.1. apakšpunktu, norādot, ka nevalstiskā organizācija ir biedrība vai nodibinājums, kas ir reģistrēta attiecīgajā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 nevalstiskā organizācija vismaz divus gadus ir reģistrēta biedrību un nodibinājumu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39.1. apakšpunktā norādīt atskaites punktu divu gadu aprēķināšanai, tādējādi nodrošinot nepārprotamu attiecīgās normas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39.4. nevalstiskajai organizācijai ir iepriekšēja pieredze lauksaimniecības nozares un produktu popularizēšanas kampaņās;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39.4. un 39.6. apakšpunktā izvērst skaidrojumu par pieredzi un sadarbību, izvirzot konkrētus un izmērāmus kritērijus to (tai skaitā to kvalitātes) noteikšanai.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Atbalsta pretendents izstrādā programmu lauksaimniecības nozares un to produktu popularizēšanas kampaņai (turpmāk – programma), ievērojot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40. punktā norādīt termiņu attiecīgās programmas izstrādei, tādējādi nodrošinot nepārprotamu attiecīgās normas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Atbalsta pretendents izstrādā programmu lauksaimniecības nozares un to produktu popularizēšanas kampaņai (turpmāk – programma), ievērojot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pamatojumu atbalsta pretendentam noteikumu projektā paredzēt pienākumu izstrādāt programmu pirms iesnieguma un dokumentu iesniegšanas Lauku atbalsta dienestā. Norādām, ka atbilstoši noteikumu projekta izdošanas tiesiskajam pamatam pieļaujams izvirzīt prasības pretendentam (iesnieguma iesniedzējam), bet nav pieļaujams paredzēt atsevišķus pienākumus, kas nav tieši saistīti ar atbalsta saņemšanu. Ierosinām izvērtēt un, piemēram, noteikumu projekta 40. punktā ietverto pienākumu izteikt prasības formā, paredzot kā nosacījumu atbalsta saņemšanai to, ka pretendents ir izstrādājis attiecīgo programmu un, piesakoties atbalstam, atbalsta pretendents, līdz 2023. gada 25. jūlijam to iesniedz Lauku atbalsta dienestā.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40.7. programmā var tikt iekļauti šādi pasākumi: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40.7. apakšpunktā nedublēt Komisijas 2022. gada 14. decembra Regulas (ES) Nr. 2022/2472, ar kuru, piemērojot Līguma par Eiropas Savienības darbību 107. un 108. pantu, dažu kategoriju atbalstu lauksaimniecības un mežsaimniecības nozarē un lauku apvidos atzīst par saderīgu ar iekšējo tirgu (turpmāk - regula Nr. 2022/2472), 24. panta 2. punktā ietverto regulējumu, svītrojot 40.7.1. un 40.7.2. apakšpunktus, kā arī papildinot 40.7. apakšpunktu ar atbilstošu atsauci uz minēto regulu.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Atbalstu piešķir, ievērojot regulas 2022/2472 6. panta 2. un 5. punkta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regulas 2022/2472 6. panta 2. un 5. punkts paredz alternatīvus nosacījumus, kuriem iestājoties, attiecīgi atbalstu uzskata par atbalstu ar stimulējošu ietekmi vai stimulējoša ietekme netiek prasīta vai tiek uzskatīta par piemītošu šādu kategoriju atbalstam. Attiecīgi lūdzam noteikumu projektā konkretizēt, uz kādu noteikumu projekta 3.2. apakšnodaļā ietverto atbalstu  tiks attiecināts katrs no minētajos punktos ietvertajiem nosacījumiem, konkretizējot arī 6. panta 5. punkta apakšpunktus, ja uz noteikumu projekta 3.2. apakšnodaļā ietverto atbalstu nav paredzēts attiecināt visus minētās regulas 6. panta 5. punkta 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Atbalsta pretendents izvēlas programmā paredzēto pasākumu izpildītāju (turpmāk – pasākumu izpildītājs) saskaņā ar Latvijas Republikas normatīvajos aktos un Eiropas Savienības tiesību aktos paredzēto kārtību par iepirkuma procedūrām pasūtītāja finansētiem projektiem. Atbalsta pretendents pats ir tiesīgs īstenot programmā plānotos pasākumus, ja tam ir vismaz trīs gadu pieredze līdzīgu pasākumu īstenošanā.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prasības noteikumu projekta 52. punktā minēto programmā paredzēto pasākumu izpildītājam, kas ir jānodrošina atbalsta pretendentam, ņemot vērā arī to, ka no noteikumu projekta 3. pielikuma izriet, ka atbalsta piešķiršanas procedūras ietvaros vērtējams pasākuma izpildītājs.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Atbalsta pretendents izvēlas programmā paredzēto pasākumu izpildītāju (turpmāk – pasākumu izpildītājs) saskaņā ar Latvijas Republikas normatīvajos aktos un Eiropas Savienības tiesību aktos paredzēto kārtību par iepirkuma procedūrām pasūtītāja finansētiem projektiem. Atbalsta pretendents pats ir tiesīgs īstenot programmā plānotos pasākumus, ja tam ir vismaz trīs gadu pieredze līdzīgu pasākumu īstenošanā.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52. punktā skaidrot, par kādiem  Eiropas Savienības tiesību aktiem ir runa noteikumu projekta 52. punktā, nepieciešamības gadījumā svītrojot attiecīgo atsauci. Norādām, ka noteikumu projektā pieļaujamas atsauces vienīgi uz tieši piemērojamiem Eiropas Savienības normatīvajiem aktiem (tai skaitā regulām).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Lauku atbalsta dienests izvērtē šo noteikumu 42. punktā norādīto dokumentu atbilstību šo noteikumu 3.2. apakšnodaļas nosacījumiem un mēneša laikā pēc iesnieguma saņemšanas pieņem lēmumu par iesnieguma apstiprināšanu vai noraidīšanu. Lēmuma pieņemšanas datums ir uzskatāms par valsts atbalsta piešķiršanas dienu. Lēmumā par atbalsta piešķiršanu paredz priekšapmaksu 95 procentu apmērā no kopējās atbalsta summas.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noteikumu projekta 53. un 81. punkta atbilstību regulas Nr. 2022/2472 24. panta 6. punktā ietvertajiem nosacījumiem. Norādām, ka minētā regulas vienība cita starpā paredz, ka atbalsta summu piešķir natūrā, kā kompensāciju par faktiskajām izmaksām, kas radušās labuma guvējam, bet attiecībā uz atbalstu par simboliskām balvām – arī skaidrā naudā. Attiecīgi secināms, ka atbalsts ir tostarp piešķirams kā kompensācija par faktiskajām izmaksām, kas radušās labuma guvējam. Līdz ar to nav saprotams pamatojums priekšapmaksas paredzēšanai, no kuras izriet, ka atbalstu varētu piešķirt izmaksu segšanai, kuras vēl nav radušās (proti, vēl nav ko kompensēt).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Lauku atbalsta dienests izvērtē šo noteikumu 42. punktā norādīto dokumentu atbilstību šo noteikumu 3.2. apakšnodaļas nosacījumiem un mēneša laikā pēc iesnieguma saņemšanas pieņem lēmumu par iesnieguma apstiprināšanu vai noraidīšanu. Lēmuma pieņemšanas datums ir uzskatāms par valsts atbalsta piešķiršanas dienu. Lēmumā par atbalsta piešķiršanu paredz priekšapmaksu 95 procentu apmērā no kopējās atbalsta summas.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53. punktā u.c. nedublēt Administratīvā procesa likumā paredzētos termiņus administratīvā akta izdošanai, atbilstoši precizējot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65.1. nodrošina pārbaudi, lai šo noteikumu 4. nodaļā minētais atbalsts nepārsniegtu regulas Nr. 1407/2013 3. panta 2 punktā noteikto </w:t>
            </w:r>
            <w:r w:rsidR="00000000" w:rsidRPr="00000000" w:rsidDel="00000000">
              <w:rPr>
                <w:i w:val="1"/>
                <w:rtl w:val="0"/>
              </w:rPr>
              <w:t xml:space="preserve">de minimis</w:t>
            </w:r>
            <w:r w:rsidR="00000000" w:rsidRPr="00000000" w:rsidDel="00000000">
              <w:rPr>
                <w:rtl w:val="0"/>
              </w:rPr>
              <w:t xml:space="preserve"> atbalsta apmēru vienam vienotam uzņēmumam. Šo noteikumu izpratnē viens vienots uzņēmums atbilst regulas Nr. 1407/2013 2. panta 2. punktā minētajiem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65.1. apakšpunktā svītrototro teikumu (norādi "Šo noteikumu izpratnē viens vienots uzņēmums atbilst regulas Nr. 1407/2013 2. panta 2. punktā minētajiem kritērijiem") kā noteikumu projekta 18.1. apakšpunktā ietvertā regulējuma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Atbalsts pārtikas kvalitātes konkursa organizēšanai pārtikas izstādes "</w:t>
            </w:r>
            <w:r w:rsidR="00000000" w:rsidRPr="00000000" w:rsidDel="00000000">
              <w:rPr>
                <w:i w:val="1"/>
                <w:rtl w:val="0"/>
              </w:rPr>
              <w:t xml:space="preserve">Riga Food 2023"</w:t>
            </w:r>
            <w:r w:rsidR="00000000" w:rsidRPr="00000000" w:rsidDel="00000000">
              <w:rPr>
                <w:rtl w:val="0"/>
              </w:rPr>
              <w:t xml:space="preserve">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noteikumu projekta 5. nodaļu "Atbalsts pārtikas kvalitātes konkursa organizēšanai pārtikas izstādes "Riga Food 2023" laikā" ar regulējumu, ieviešot regulas 2022/2472 24. panta 2. punkta "a" apakšpunkta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Iesniegums līdzfinansējuma saņemšanai dalībai kopstendā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iestāžu juridisko dienestu vadītāju 2019. gada 14. novembra sanāksmē nolemto (protokols Nr. 3 2. §), lūdzam izvērtēt iespēju noteikumu projektā (sk. noteikumu projekta pielikumus) noteikt tikai veidlapā iekļaujamās informācijas saturu un apjomu, savukārt veidlapas dizainu un formu kā ilustratīvu materiālu publicēt ministrijas tīmekļa vietnē vai vietnē, kur piedāvā e-pakalpojumu, ņemot par piemēru Komerclikumā ietverto regulējumu attiecībā uz Uzņēmumu reģistra veidlapām. Pretējā gadījumā, lūdzam noteikumu projekta anotācijā pamatot, kāpēc tieši šādas veidlapas un šādā formātā ir nepieciešams noteikt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Iesniegums līdzfinansējuma saņemšanai dalībai kopstendā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projekta pielikumus (jo īpaši 1. pielikumu), nodrošinot, ka no tā neizriet pretendenta pienākumi, kas nav paredzēti noteikumu projekta pamattekstā, kā arī to, ka pielikumā izvirzītās prasības ir pamatotas. Norādām,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 noteikumu projekta pamatteksta iepretim tā 1. pielikumam neizriet nosacījums, ka pretendenta darbībā nav konstatēti profesionālās darbības pārkāpumi un nepastāv spēkā esošs spriedums, ar kuru pretendents atzīts par vainīgu nodarījumā saistībā ar savu profesionālo darbību, tāpat arī, piemēram, neizriet prasība par vienotu kopstenda dizainu;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ņemot vērā noteikumu projektā paredzētā atbalsta kumulēšanas nosacījumus, nav skaidri saprotams 1. pielikuma nosacījums, ka iesniegumā minētā pasākuma finansēšanai pretendents nevar saņemt citu Latvijas Republikas vai Eiropas Savienības fondu finansējumu vai cita veida valsts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1. un 3. pielikuma prasība, ka iesniegumā un citos dokumentos sniegtā informācija ir patiesa un atbilst oriģināliem ir neskaidra (ciktāl attiecas uz atbilstību oriģināliem) un nav nepieciešama, vērā, ka uz pretendentu jebkurā gadījumā attiecināmas normatīvajos aktos dokumentu izstrādāšanas un noformēšanas jomā ietvertās prasības attiecībā uz dokumentu atvasinājumu izstrādāšanu kā arī normatīvajos aktos noteiktā atbildība par dokumenta viltošanu u.tml., līdz ar ko nav saskatāma nepieciešamība speciāliem apliecinājumiem citos dokumentos (proti, atsevišķā iesniegumā).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juridiskās tehnikas prasībām tiesību aktu pielikumos ietver tehniskos normatīvus, tabulas, veidlapu paraugus, kartes, zīmējumus u.tml. Pielikumos neietver pastāvīgas tiesību normas un normas, kas neizriet no tiesību akta pamatteksta.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Iesniegums lauksaimniecības nozares un to produktu popularizēšanas kampaņas programmai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noteikumu projekta 56.3. apakšpunktu un 3. pielikumu, termina "uzņēmums" vietā izmantojot terminu "komersants" vai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Iesniegums lauksaimniecības nozares un to produktu popularizēšanas kampaņas programmai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 pielikumā simbolu "/" aizstāt ar saikli "un" vai saikli "vai", jo no attiecīgās normas nav skaidrs, vai ar simbolu "/" tiek saprasts saiklis "un" vai saiklis "vai". Pamatojoties uz juridiskās tehnikas prasībām, tiesību normai ir jābūt skaidrai, lai tā lietotājs un piemērotājs gūtu nepārprotamu priekšstatu par saviem pienākumiem un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Iesniegums lauksaimniecības nozares un to produktu popularizēšanas kampaņas programmai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 pielikumā norādīt, kāda informācija sniedzama II sadaļā "Informācija par programmā paredzēto pasākumu izpildītāju" gadījumā, ja pretendents pats realizē programmā paredzētos pasākumus, ievērojot, ka uz biedrību vai nodibinājumu nav juridiski korekti attiecināt norādi uz uzņēmumu.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tiesiskās noteiktības nolūkā lūdzam minētajā pielikumā vai noteikumu projekta anotācijā skaidrot, kas ir norādāms pretendenta reprezentativitātes raksturojumā.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papildināt noteikumu projekta anotācijas 5.4. sadaļas 1. tabulu ar skaidrojumu par regulas Nr. 2022/2472 9. panta (informācija sniegta vienīgi par 9. panta 1. punkta "c" apakšpunkta un 9. panta 3. un 4. punkta ieviešanu) un 11. panta ieviešanu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Atbalstu piešķir Agroresursu un ekonomikas institūtam (turpmāk – institūts) Latvijas lauksaimniecības, un pārtikas sektora pārstāvniecības stendu organizēšanai starptautiskajās izstādēs (turpmāk – kopstends) un līdzfinansējuma piešķiršanai pretendentiem dalībai kopstendā  laikposmā līdz 2024. gada 31. 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juridiskās tehnikas prasībām visus lietotos saīsinājumus, rakstot pirmo reizi, atšifrē, iekavās norādot to turpmāko lietojumu. Kā arī, ja konkrētais apzīmējums tiek saīsināts, tad šis saīsinājums lietojams arī turpmāk tekstā. Norādām, ka šobrīd, piemēram, atkārtoti atrunāts saīsinājums "kopstends", atrunāts saīsinājums "pretendents", bet tālāk tekstā norādīts arī uz "atbalsta pretendentu" (tātad - pretendentu citā nozīmē), kā arī atrunāts saīsinājums programma, bet tālāk tekstā norādīts arī uz "mārketinga programmu) (tātad - citu programmu). Ievērojot minēto, lūdzam precizēt noteikumu projektu atbilstoši noteikumu Nr. 108 124. punkta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 nevalstiskā organizācija, kas apvieno dažādu jomu lauksaimniekus;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39.2. apakšpunktā aizvietot vārdus un pieturzīmi "nevalstiskā organizācija, kas" ar vārdu "tā", jo pretējā gadījumā noteikumu projektā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23-TA-775</w:t>
    </w:r>
    <w:r>
      <w:br/>
    </w:r>
    <w:r w:rsidR="00000000" w:rsidRPr="00000000" w:rsidDel="00000000">
      <w:rPr>
        <w:rtl w:val="0"/>
      </w:rPr>
      <w:t xml:space="preserve">Izdrukāts 27.04.2023. 21.24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23-TA-775</w:t>
    </w:r>
    <w:r>
      <w:br/>
    </w:r>
    <w:r w:rsidR="00000000" w:rsidRPr="00000000" w:rsidDel="00000000">
      <w:rPr>
        <w:rtl w:val="0"/>
      </w:rPr>
      <w:t xml:space="preserve">Izdrukāts 27.04.2023. 21.24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Atzinumi_23-TA-775.docx</dc:title>
</cp:coreProperties>
</file>

<file path=docProps/custom.xml><?xml version="1.0" encoding="utf-8"?>
<Properties xmlns="http://schemas.openxmlformats.org/officeDocument/2006/custom-properties" xmlns:vt="http://schemas.openxmlformats.org/officeDocument/2006/docPropsVTypes"/>
</file>