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pret sekojošiem ierobežojumiem, kas noteikti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kapacitātes stiprināšanas pasākumos netiks iesaistītas tās organizācijas, kas būs noslēgušas līgumu ar Sabiedrības integrācijas fondu par projekta īstenošanu Atveseļošanas fonda 6.3.1.4.i. investīcijas ietvaros, kā arī viņu sadarbības partneri. Abu fondu pasākumiem ir atšķirīgs uzsākšanas laiks, kas atvieglos sinerģijas un demarkācijas nodrošināšanu. (..) Papildus jāņem vērā, ka, katru gadu no jauna plānojot valsts budžeta programmas “NVO fonds” prioritātes, tiks ņemta vērā demarkācija ar 4.3.4.5.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abu fondu pasākumiem ir atšķirīgs uzsākšanas laiks un mērķi, kā arī valsts nevar būtiski pasliktināt NVO iespējas stiprināt to kapacitāti un būt aktīviem interešu pārstāvībā, svītrot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kapacitātes stiprināšanas pasākumos netiks iesaistītas tās organizācijas, kas būs noslēgušas līgumu ar Sabiedrības integrācijas fondu par projekta īstenošanu Atveseļošanas fonda 6.3.1.4.i. investīcijas ietvaros, kā arī viņu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katru gadu no jauna plānojot valsts budžeta programmas “NVO fonds” prioritātes, tiks ņemta vērā demarkācija ar 4.3.4.5.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riska novēršana un demarkācijas nodrošināšana jau ir noregulēta MK noteikumu 26.5.punktā: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NVO skaits, kas sniegušas atzinumus par rīcībpolitikas plānošanas dokumentiem un normatīvajiem aktiem (6 mēnešu laikā pēc iesaistes projekta darbībās) - 50.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lietoto terminu "NVO". Korekti būtu lietot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w:t>
            </w:r>
            <w:r w:rsidR="00000000" w:rsidRPr="00000000" w:rsidDel="00000000">
              <w:rPr>
                <w:b w:val="1"/>
                <w:rtl w:val="0"/>
              </w:rPr>
              <w:t xml:space="preserve">biedrību un nodibinājumu </w:t>
            </w:r>
            <w:r w:rsidR="00000000" w:rsidRPr="00000000" w:rsidDel="00000000">
              <w:rPr>
                <w:rtl w:val="0"/>
              </w:rPr>
              <w:t xml:space="preserve">skaits, kas sniegušas atzinumus par rīcībpolitikas plānošanas dokumentiem un normatīvajiem aktiem (6 mēnešu laikā pēc iesaistes projekta darbībās) - 50.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finansējuma pārdalei jānotiek ar iepriekš noteiktiem, skaidriem kritērijiem, pārraudzības mehānismiem un nospraustiem rezultatīvajiem rādītājiem, tāpēc Latvijas Pilsoniskā alianse aicina anotācijā iekļaut informāciju par to, kādas aktivitātes plāno veikt Sabiedrības integrācijas fonds, saņemot 60% no kopējā finansējuma, un ja plāno to piešķirt citām personām – kādā procedūrā un ar kādiem sasniedzamiem rezultatīviem rādītājiem tas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24.07.2023.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24.07.2023.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Atzinumi_23-TA-760.docx</dc:title>
</cp:coreProperties>
</file>

<file path=docProps/custom.xml><?xml version="1.0" encoding="utf-8"?>
<Properties xmlns="http://schemas.openxmlformats.org/officeDocument/2006/custom-properties" xmlns:vt="http://schemas.openxmlformats.org/officeDocument/2006/docPropsVTypes"/>
</file>