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informācijas un publicitātes pasākumi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vadlīniju "Vadlīnijas Ministru kabineta noteikumu par specifiskā atbalsta mērķa īstenošanu izstrādei Eiropas Savienības fondu 2021.—2027. gada plānošanas periodā" 31.punktā lietoto jēdzienu "komunikācijas un vizuālās identitātes prasību nodrošināšanas nosacījumi", aicinām izvērtēt un pēc nepieciešamības precizēt noteikumu projekta 16.3.apakšpunktu, kur tiek pieminēti  “informācijas un publicitātes pasākumi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MK noteikumu 18.1.1. un 18.1.2.apakšpunktā minēto vienkāršoto izmaksu metodiku plānots apstiprināt līdz projektu iesniegumu atlases izsludināšanai. Gadījumā, ja līdz projektu iesniegumu atlases izsludināšanai vienkāršoto izmaksu metodika nebūs apstiprināta, projekta iesniegumu atlasē netiks veikta personāla atlīdzības izmaksu apmēra pamatotības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30.06.2023.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30.06.2023.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