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noteikumi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var pretendēt uz atbalstu pasākuma pirmajā kārtā, ja infrastruktūra un nekustamais īpašums, kurā par projekta īstenošanai piešķirtajiem līdzekļiem tiks veikti ieguldījumi, ir finansējuma saņēmēja vai finansējuma saņēmēja kontrolētas kapitālsabiedrības īpašumā. Ja nekustamais īpašums ir finansējuma saņēmēja kontrolētas kapitālsabiedrības īpašumā, tad finansējuma saņēmējam lietošanas tiesības ir uz termiņu, kas nav īsāks par pieciem gadiem no dienas, kad veikts projekta noslēguma maksājums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28. punktu, ņemot vērā noteikumu projekta 16. punktā ietverto regulējumu attiecībā uz to, kas var būt finansējuma saņēmējs. Proti, noteikumu projekta 16. punkts paredz, ka finansējuma saņēmējs var būt gan pašvaldība, gan arī pašvaldības dibināts sociālo pakalpojumu sniedzējs, no kā izriet, ka finansējuma saņēmējs var būt arī, piemēram, pašvaldības aģentūra, kas ir pašvaldības iestāde (sk. Publisko aģentūru likuma 2. panta otro daļu). Vēršam uzmanību, ka publiskas personas manta atrodas publiskas personas īpašumā, savukārt publiskas personas iestādes, tostarp pašvaldības iestādes, manta atrodas nevis iestādes īpašumā, bet gan iestādes </w:t>
            </w:r>
            <w:r w:rsidR="00000000" w:rsidRPr="00000000" w:rsidDel="00000000">
              <w:rPr>
                <w:u w:val="single"/>
                <w:rtl w:val="0"/>
              </w:rPr>
              <w:t xml:space="preserve">valdījumā</w:t>
            </w:r>
            <w:r w:rsidR="00000000" w:rsidRPr="00000000" w:rsidDel="00000000">
              <w:rPr>
                <w:rtl w:val="0"/>
              </w:rPr>
              <w:t xml:space="preserve"> (sk. Valsts pārvaldes iekārtas likuma 91. pantu). Attiecīgi aicinām precizēt projekta 28. punktu. Alternatīvi lūdzam sniegt pamatotu skaidrojumu,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noteikumu 18.1.4. apakšpunktā minētās atbalstāmās darbības īstenošanu projektā plāno finansējuma saņēmēji, kuru administratīvajai teritorijai ir pieguļoša lauku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37.1. apakšpunktu atbilstoši izziņā un anotācijā ietvertajam skaidrojumam, norādot uz administratīvo teritoriju, </w:t>
            </w:r>
            <w:r w:rsidR="00000000" w:rsidRPr="00000000" w:rsidDel="00000000">
              <w:rPr>
                <w:u w:val="single"/>
                <w:rtl w:val="0"/>
              </w:rPr>
              <w:t xml:space="preserve">kurā ietilpst</w:t>
            </w:r>
            <w:r w:rsidR="00000000" w:rsidRPr="00000000" w:rsidDel="00000000">
              <w:rPr>
                <w:rtl w:val="0"/>
              </w:rPr>
              <w:t xml:space="preserve"> lauku teritorija v.tml., nevis uz administratīvo teritoriju, kurai ir </w:t>
            </w:r>
            <w:r w:rsidR="00000000" w:rsidRPr="00000000" w:rsidDel="00000000">
              <w:rPr>
                <w:u w:val="single"/>
                <w:rtl w:val="0"/>
              </w:rPr>
              <w:t xml:space="preserve">pieguļoša</w:t>
            </w:r>
            <w:r w:rsidR="00000000" w:rsidRPr="00000000" w:rsidDel="00000000">
              <w:rPr>
                <w:rtl w:val="0"/>
              </w:rPr>
              <w:t xml:space="preserve"> lauku teritorija. Norādām, ka, ņemot vērā pašreizējo normas formulējumu, var pārprast, ka domāta lauku teritorija, kas atrodas ārpus pašvaldības administratīvās teritorijas. Papildus atkārtoti lūdzam anotācijā skaidrot, kādēļ vispār attiecībā uz noteikumu projekta 18.1.4. apakšpunktā minētās atbalstāmās darbības īstenošanu nepieciešams un paredzēts noteikumu projekta 37.1. apakšpunktā ietvertais ierobežojums. Atkārtoti arī norādām, ka noteikumu projekta 37.1. apakšpunkts tā pašreizējā formulējumā ("</w:t>
            </w:r>
            <w:r w:rsidR="00000000" w:rsidRPr="00000000" w:rsidDel="00000000">
              <w:rPr>
                <w:u w:val="single"/>
                <w:rtl w:val="0"/>
              </w:rPr>
              <w:t xml:space="preserve">finansējuma saņēmēji, kuru</w:t>
            </w:r>
            <w:r w:rsidR="00000000" w:rsidRPr="00000000" w:rsidDel="00000000">
              <w:rPr>
                <w:rtl w:val="0"/>
              </w:rPr>
              <w:t xml:space="preserve"> administratīvajai teritorijai"), šķiet, ir attiecināms tikai uz finansējuma saņēmēju, kas ir pašvaldība (sk. Administratīvo teritoriju un apdzīvoto vietu likuma 1. pantu, 4. panta pirmo daļu). Attiecīgi lūdzam normu precizēt vai arī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47.10. apakšpunktā ietverta atsauce uz Eiropas Parlamenta un Padomes 2021. gada 24. jūnija Regulas (ES) 2021/1057, ar ko izveido Eiropas Sociālo fondu Plus (ESF+) un atceļ Regulu (ES) Nr. 1296/2013, 1. pielikumu, taču anotācijas 5.4. sadaļas 1. tabulā ietverta norāde uz 1. un 2. pielikumu, aicinām attiecīgi precizēt vai nu anotācijas 5.4. sadaļas 1. tabulu, vai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23.01.2024.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23.01.2024.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Atzinumi_23-TA-2128.docx</dc:title>
</cp:coreProperties>
</file>

<file path=docProps/custom.xml><?xml version="1.0" encoding="utf-8"?>
<Properties xmlns="http://schemas.openxmlformats.org/officeDocument/2006/custom-properties" xmlns:vt="http://schemas.openxmlformats.org/officeDocument/2006/docPropsVTypes"/>
</file>