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Administratīvajām teritorijām Limbažu novadā, Ogres novadā, Saulkrastu novadā un Tukuma novadā piemēro 30% lielajiem komersantiem, 40% vidējiem komersantiem vai 50% sīkajiem (mikro) vai mazajiem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pārliecināties, vai Pierīgas reģiona atbalsta saņēmēju izslēgšana no atbalsta saņēmēju loka ir Ekonomikas ministrijas mērķis un, pēc nepieciešamības, precizēt noteikumu projekta 35.3. un 36.3. apakšpunktu redakciju. Vēršam uzmanību, ka atbilstoši 2021.gada NUTS nomenklatūrai, Pierīga ir ne tikai Limbažu novads, Ogres novads, Saulkrastu novads un Tukuma novads.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atbalsts tiek sniegts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atbilstoši Komisijas regulas Nr. </w:t>
            </w:r>
            <w:r w:rsidR="00000000" w:rsidRPr="00000000" w:rsidDel="00000000">
              <w:rPr>
                <w:rtl w:val="0"/>
              </w:rPr>
              <w:t xml:space="preserve">651/2014</w:t>
            </w:r>
            <w:r w:rsidR="00000000" w:rsidRPr="00000000" w:rsidDel="00000000">
              <w:rPr>
                <w:rtl w:val="0"/>
              </w:rPr>
              <w:t xml:space="preserve"> 14. panta 13. punktam ikvienu sākotnējo ieguldījumu, kurš attiecās uz to pašu vai līdzīgu darbību, un kuru tas pats saņēmējs (grupas līmenī) ir sācis triju gadu laikā no dienas, kad sākti darbi pie cita atbalstītā ieguldījuma tajā pašā 2021.gada NUTS 3 datu</w:t>
            </w:r>
            <w:r w:rsidR="00000000" w:rsidRPr="00000000" w:rsidDel="00000000">
              <w:rPr>
                <w:b w:val="1"/>
                <w:rtl w:val="0"/>
              </w:rPr>
              <w:t xml:space="preserve"> </w:t>
            </w:r>
            <w:r w:rsidR="00000000" w:rsidRPr="00000000" w:rsidDel="00000000">
              <w:rPr>
                <w:rtl w:val="0"/>
              </w:rPr>
              <w:t xml:space="preserve">reģionā, uzskata par daļu no vienota ieguldījumu projekta. Vienotam ieguldījumu projektam, kas ir lielu ieguldījumu projekts, un lielu ieguldījumu projektam, kas nav vienotais ieguldījumu projekts, saskaņā ar Komisijas regulas Nr. </w:t>
            </w:r>
            <w:r w:rsidR="00000000" w:rsidRPr="00000000" w:rsidDel="00000000">
              <w:rPr>
                <w:rtl w:val="0"/>
              </w:rPr>
              <w:t xml:space="preserve">651/2014</w:t>
            </w:r>
            <w:r w:rsidR="00000000" w:rsidRPr="00000000" w:rsidDel="00000000">
              <w:rPr>
                <w:rtl w:val="0"/>
              </w:rPr>
              <w:t xml:space="preserve"> 2. panta 52. punktu (neatkarīgi no tā, vai ieguldījumus veic mazs, vidējs vai liels komersants), atbalstu piešķir,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65.punkta redakciju, t.i., </w:t>
            </w:r>
            <w:r w:rsidR="00000000" w:rsidRPr="00000000" w:rsidDel="00000000">
              <w:rPr>
                <w:i w:val="1"/>
                <w:rtl w:val="0"/>
              </w:rPr>
              <w:t xml:space="preserve">ka šo noteikumu 36.[..] normas, kas pārņemtas ar Komisijas regulas Nr.651/2014 2023.gada 9.marta grozījumiem[..]</w:t>
            </w:r>
            <w:r w:rsidR="00000000" w:rsidRPr="00000000" w:rsidDel="00000000">
              <w:rPr>
                <w:rtl w:val="0"/>
              </w:rPr>
              <w:t xml:space="preserve">, attiecīgi ir secināms, ka noteikumu projekta 36.punkta apakšpunktos ir jāprecizē koriģētas atbalsta summas aprēķināšanas kārtība atbilstoši Komisijas regulas Nr.651/2014 2023.gada 9.marta grozījumu 2.panta 20.punktam. Vienlaikus Ekonomikas ministrija var paredzēt stingrākus nosacījumus un saglabāt esošo kārtību, papildinot anotāciju, ka noteikumu projekta 36.punkts paredz stingrākas prasības. Papildus šajā normā lūdzam ietvert sasaisti ar Komisijas regulas 2.panta 50.punktu, kas skaidro terminu "tā pati vai līdzīga darbība". Lūdzam atbilstoši precizēt noteikumu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Šo noteikumu 36., 38.2.2., 40.2., 62.</w:t>
            </w:r>
            <w:r w:rsidR="00000000" w:rsidRPr="00000000" w:rsidDel="00000000">
              <w:rPr>
                <w:vertAlign w:val="superscript"/>
                <w:rtl w:val="0"/>
              </w:rPr>
              <w:t xml:space="preserve">1</w:t>
            </w:r>
            <w:r w:rsidR="00000000" w:rsidRPr="00000000" w:rsidDel="00000000">
              <w:rPr>
                <w:rtl w:val="0"/>
              </w:rPr>
              <w:t xml:space="preserve">10.1., 32.</w:t>
            </w:r>
            <w:r w:rsidR="00000000" w:rsidRPr="00000000" w:rsidDel="00000000">
              <w:rPr>
                <w:vertAlign w:val="superscript"/>
                <w:rtl w:val="0"/>
              </w:rPr>
              <w:t xml:space="preserve">1</w:t>
            </w:r>
            <w:r w:rsidR="00000000" w:rsidRPr="00000000" w:rsidDel="00000000">
              <w:rPr>
                <w:rtl w:val="0"/>
              </w:rPr>
              <w:t xml:space="preserve">10.2. normas, kas pārņemtas ar Komisijas regulas Nr.651/2014 2023.gada 9.marta grozījumiem, stāsies spēkā pēc tam, kad stāsies spēkā grozījumi Komisijas regulā Nr.651/2014, t.i., nākamajā dienā pēc to publicēšanas Eiropas Savienības Oficiālajā Vēstnesī. Pārejas periodā tiek piemēroti Komisijas regulas Nr.651/2014  spēkā esošie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Komisija 2023. gada 23. jūnijā oficiāli pieņēma Komisijas regulas Nr.651/2014 grozījumus (informācija pieejama: https://competition-policy.ec.europa.eu/state-aid/legislation/regulations_en), attiecīgi tuvākajā laikā ir plānota to publicēšanas Eiropas Savienības Oficiālajā Vēstnesī, ņemot vērā minēto, aicinām sekot līdzi aktuālajai informācijai un gadījumā, ja Komisijas regulas Nr.651/2014 grozījumi tiek publicēti Eiropas Savienības Oficiālajā Vēstnesī pirms noteikumu projekta apstiprināšanas, lūdzam atbilstoši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29.06.2023.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29.06.2023.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