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vai tiesu varas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iesniedzēju skaitā iekļaut visu veidu institūcijas, kas norādītas 22.punktā, t.sk. biedrības vai nodibinājumus (deleģēto pārvaldes uzdevumu veikšanai). Patlaban, piemēram, publiskas personas kapitālsabiedrības (deleģēto pārvaldes uzdevumu veikšanai) var būt gan projektu iesniedzēji gan partneri (iekļautas 22. un 21.punktā), bet biedrības nevar būt iesniedzēji. Šis nošķīrums pēc organizācijas juridiskās formas neatbilst pasākuma mērķiem un nav pamatojams arī ar ieviešanas procedūrām.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lūgums kā projekta iesniedzējus iekļaut atvasinātas publiskas personas, kas darbojas zinātniskās izpētes un augstākās izglītības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Mickeviča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tiesu varas institūciju, biedrību vai nodibinājumu (deleģēto pārvaldes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kā projekta sadabrības partnerus iekļaut atvasinātas publiskas personas, kas darbojas zinātniskās izpētes un augstākās izglītības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Mickeviča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28.7.1. ieviešamo informācijas un komunikācijas tehnoloģiju risinājumu administratoru un lietotāju apmācību, informatīvo un publicitātes pasākumu izmaksas, kas nepieciešamas risinājumu ieviešanai un pilnvērtīgai lietošanai, nepārsniedzot trīs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atcelt 3% slieksni apmācību izmaksām, jo būtisku pārvaldes procesu izmaiņu gadījumā lietotāju apmācības izmaksas var būt ievērojami lielākas, lai panāktu efektīvu risinājumu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Mickeviča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pēdējā teikuma sākumu papildināt šādi: “Ja finansējuma saņēmējs ir valsts kapitālsabiedrība, biedrība vai nodibinājums, kura īsteno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Nošķīrums starp kapitālsabiedrību un biedrību vai nodibinājumu, kas pilda valsts deleģētās funkcijas, neatbilst pasākuma mērķiem un nav pamatojams arī ar ieviešanas procedūrām.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Mickeviča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28.4.2. valsts pārvaldes jomu (domēnu) un attīstāmo risinājumu arhitektūru projektēšanas un attīstības atbilstoši Eiropas sadarbspējas satvara principiem un ieteikumiem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28.4.2. iznest ārpus apakšpunkta 28.4., veidojot atsevišķu otrā līmeņa apakšpunktu. Šīs aktivitātes var būt būtiskas un nesaistītas ar atsevišķu IKT projektu. Tāpat šajā apakšpunktā var tikt ietverta nozarē izmantojamo standartu vai labāko prakšu atlase vai izstrāde tehnoloģijām, datiem, API un ar IKT lietošanu vai datu apmaiņu saistītajām procedūrām, juridiskajam ietvaram (līgumiem, noteikumiem), datu shēmu izstrādi u.c. Ja šāda veida aktivitātes juridiski ir ietvertas, lūdzam 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veidot atsevišķu otrā līmeņa apakšpunktu ar nozares / starpinstitūciju IKT pārvaldību saistītiem pasākumiem, t.sk. 28.4.2, iespējams 28.8, daļēji/pārformulējot 28.3.1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Mickeviča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05.03.2024.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05.03.2024.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