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11. augusta noteikumos Nr. 918 "Noteikumi par rūpnieciskās zvejas tiesību nomu un zvejas tiesību izmantošanas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3.sadaļas 6.punkta pēdējo rindkopu papildināt ar skaidrojumu, kāpēc aprēķini no noteikumu Nr. 918 2.</w:t>
            </w:r>
            <w:r w:rsidR="00000000" w:rsidRPr="00000000" w:rsidDel="00000000">
              <w:rPr>
                <w:vertAlign w:val="superscript"/>
                <w:rtl w:val="0"/>
              </w:rPr>
              <w:t xml:space="preserve">1 </w:t>
            </w:r>
            <w:r w:rsidR="00000000" w:rsidRPr="00000000" w:rsidDel="00000000">
              <w:rPr>
                <w:rtl w:val="0"/>
              </w:rPr>
              <w:t xml:space="preserve">pielikuma I.-IV. tabulā pašreiz norādītās pamatmaksas par rūpnieciskās zvejas tiesību nomu un zvejas tiesību izmantošanu noapaļošanu uz augšu līdz 50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centiem vai veseliem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nav iespējami.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05.02.2026.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05.02.2026.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