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25-TA-2864: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Mājokļu pieejamības pamatnostādņu 2023. - 2027. gadam starpposma izvērtējums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Pamatnostādņu izvērtējums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Lai varētu novērtēt 1. tabulas “Mājokļu pieejamības pamatnostādņu politikas un rezultatīvie rādītāji” ietvaros noteiktā 1.2. politikas rādītāja </w:t>
            </w:r>
            <w:r w:rsidR="00000000" w:rsidRPr="00000000" w:rsidDel="00000000">
              <w:rPr>
                <w:i w:val="1"/>
                <w:rtl w:val="0"/>
              </w:rPr>
              <w:t xml:space="preserve">"Mājsaimniecību īpatsvars, kurām kopējie ar mājokli saistītie izdevumi sagādā finansiālas grūtības (ļoti apgrūtinoši/nedaudz apgrūtinoši) (%)” </w:t>
            </w:r>
            <w:r w:rsidR="00000000" w:rsidRPr="00000000" w:rsidDel="00000000">
              <w:rPr>
                <w:rtl w:val="0"/>
              </w:rPr>
              <w:t xml:space="preserve">sasniegto progresu, lūdzam aizpildīt aili “Sasniegtais rezultāts 2024. gadā”, izmantojot pieejamos datus par 2023. gadu (tiek sniegta informācija, ka </w:t>
            </w:r>
            <w:r w:rsidR="00000000" w:rsidRPr="00000000" w:rsidDel="00000000">
              <w:rPr>
                <w:i w:val="1"/>
                <w:rtl w:val="0"/>
              </w:rPr>
              <w:t xml:space="preserve">"dati par 2024. gadu nav pieejami. Plānots, ka dati tiks atjaunoti par situāciju 2026. gadā un tiks publicēti CSP mājaslapā 2027. gadā", </w:t>
            </w:r>
            <w:r w:rsidR="00000000" w:rsidRPr="00000000" w:rsidDel="00000000">
              <w:rPr>
                <w:rtl w:val="0"/>
              </w:rPr>
              <w:t xml:space="preserve">vienlaikus ietverot</w:t>
            </w:r>
            <w:r w:rsidR="00000000" w:rsidRPr="00000000" w:rsidDel="00000000">
              <w:rPr>
                <w:i w:val="1"/>
                <w:rtl w:val="0"/>
              </w:rPr>
              <w:t xml:space="preserve"> </w:t>
            </w:r>
            <w:r w:rsidR="00000000" w:rsidRPr="00000000" w:rsidDel="00000000">
              <w:rPr>
                <w:rtl w:val="0"/>
              </w:rPr>
              <w:t xml:space="preserve">ailē informāciju "Nav dati")</w:t>
            </w:r>
            <w:r w:rsidR="00000000" w:rsidRPr="00000000" w:rsidDel="00000000">
              <w:rPr>
                <w:i w:val="1"/>
                <w:rtl w:val="0"/>
              </w:rPr>
              <w:t xml:space="preserve">. </w:t>
            </w:r>
            <w:r w:rsidR="00000000" w:rsidRPr="00000000" w:rsidDel="00000000">
              <w:rPr>
                <w:rtl w:val="0"/>
              </w:rPr>
              <w:t xml:space="preserve">Minēto informāciju lūdzam norādīt analoģiski pieejai, kāda piemērota 2.1. politikas rādītājam “Mājsaimniecību īpatsvars, kuras norādīja uz neapmierinošiem mājokļa apstākļiem (%)”, kurā ir norādīti dati par 2023. gadu.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Maija Kamoliņa (VARAM)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25-TA-2864</w:t>
    </w:r>
    <w:r>
      <w:br/>
    </w:r>
    <w:r w:rsidR="00000000" w:rsidRPr="00000000" w:rsidDel="00000000">
      <w:rPr>
        <w:rtl w:val="0"/>
      </w:rPr>
      <w:t xml:space="preserve">Izdrukāts 17.02.2026. 10.35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25-TA-2864</w:t>
    </w:r>
    <w:r>
      <w:br/>
    </w:r>
    <w:r w:rsidR="00000000" w:rsidRPr="00000000" w:rsidDel="00000000">
      <w:rPr>
        <w:rtl w:val="0"/>
      </w:rPr>
      <w:t xml:space="preserve">Izdrukāts 17.02.2026. 10.35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Atzinumi_25-TA-2864.docx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