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26-TA-1036: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ceturto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atsauces uz Eiropas Savienības tiesību aktiem noformēt atbilstoši Ministru kabineta 2009. gada 3. februāra noteikumu Nr. 108 "Normatīvo aktu projektu sagatavošanas noteikumi" 170.-172. punktam, atsaucē uz Eiropas Savienības tiesību aktu norādot šādu informāciju atbilstošā secībā: institūcija (Komisija, Padome, Eiropas Parlaments), kas izdevusi attiecīgo tiesību aktul; tiesību akta pieņemšanas datums; veids (regula, direktīva, lēmums); numurs un nosaukums atbilstoši tiesību akta nosaukumam latviešu valodā EUR-Lex datu bāzē. Piemēram, Eiropas Parlamenta un Padomes 2021. gada 12. februāra Regula (ES) 2021/241, ar ko izveido Atveseļošanas un noturības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Ministru kabineta 2025. gada 22. decembra sēdes protokola Nr. 53 103. §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2.punktu par spēku zaudējušu un investīcijā 2.3.2.1.i “Digitālās prasmes iedzīvotājiem, t. sk. jauniešiem" ietaupīto finansējumu 3 010 779 euro novirzīt Ekonomikas ministrijai 3.1.1.7.i.investīcijas “Aizdevumi nekustamā īpašuma attīstītājiem zemas īres maksas mājokļu būvniecībai”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projekts nebūtu atzīstams par spēku zaudējušu tādā pat veidā kā normatīvais akts, kā to šobrīd paredz lēmuma projekta 5. punkts. Nepieciešamības gadījumā ar lēmuma projektu konkrētais uzdevums atzīstams par aktualitāti zaudējušu, tādēļ iesakām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Ministru kabineta 2025. gada 22. decembra sēdes protokola Nr. 53 103. §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2.punktu par aktualitāti zaudējušu un investīcijā 2.3.2.1.i “Digitālās prasmes iedzīvotājiem, t. sk. jauniešiem" ietaupīto finansējumu 3 010 779 euro novirzīt Ekonomikas ministrijai 3.1.1.7.i.investīcijas “Aizdevumi nekustamā īpašuma attīstītājiem zemas īres maksas mājokļu būvniecībai”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13.05.2026.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13.05.2026.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Atzinumi_26-TA-1036.docx</dc:title>
</cp:coreProperties>
</file>

<file path=docProps/custom.xml><?xml version="1.0" encoding="utf-8"?>
<Properties xmlns="http://schemas.openxmlformats.org/officeDocument/2006/custom-properties" xmlns:vt="http://schemas.openxmlformats.org/officeDocument/2006/docPropsVTypes"/>
</file>