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22-TA-2306: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Instrukcija par valsts kapitāla daļu turētāju sadarbību Rīgas ostas un Ventspils ostas pārvalžu valsts kapitāla daļu pārvaldīšanā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Instrukcijas projekts "Instrukcija par valsts kapitāla daļu turētāju sadarbību Rīgas ostas un Ventspils ostas pārvalžu valsts kapitāla daļu pārvaldīšanā"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10.panta trešo daļu valsts kapitāla daļām vienā kapitālsabiedrībā var būt tikai viens turētājs, līdz ar to likumā nav regulējuma valsts kapitāla daļu pārvaldībai gadījumiem, kad vienā kapitālsabiedrībā ir vairāki valsts akciju turētāji. </w:t>
            </w:r>
            <w:r w:rsidR="00000000" w:rsidRPr="00000000" w:rsidDel="00000000">
              <w:rPr>
                <w:u w:val="single"/>
                <w:rtl w:val="0"/>
              </w:rPr>
              <w:t xml:space="preserve">Ja speciālajā likumā - Ostu likumā ir noteikti vairāki valsts kapitāla daļu turētāji, tad tajā arī jānosaka galvenos nosacījumus valsts kapitāla daļu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kapitāla daļu un kapitālsabiedrību pārvaldības likumā nav regulējuma valsts kapitāla daļu pārvaldībai, kad vienai kapitālsabiedrībai ir vairāki valsts kapitāla daļu/akciju turētāji, savukārt akcionāru līgumā ir jāparedz kārtību, kas ir atbilstoša spēkā esošajām normatīvajām prasībām, tostarp Ostu likuma, Komerclikuma un Publiskas personas kapitāla daļu un kapitālsabiedrību pārvaldības likuma prasībām, savukārt i</w:t>
            </w:r>
            <w:r w:rsidR="00000000" w:rsidRPr="00000000" w:rsidDel="00000000">
              <w:rPr>
                <w:u w:val="single"/>
                <w:rtl w:val="0"/>
              </w:rPr>
              <w:t xml:space="preserve">nstrukcijas projekts "Instrukcija par valsts kapitāla daļu turētāju sadarbību Rīgas ostas un Ventspils ostas pārvalžu valsts kapitāla daļu pārvaldīšanā" ir zemāka spēka attiecībā pret likumu</w:t>
            </w:r>
            <w:r w:rsidR="00000000" w:rsidRPr="00000000" w:rsidDel="00000000">
              <w:rPr>
                <w:rtl w:val="0"/>
              </w:rPr>
              <w:t xml:space="preserve">, aicinām augstāka spēka normatīvajā aktā - speciālajā regulējumā, proti, Ostu likumā noteikt kapitālsabiedrību – AS “Rīgas osta” un AS “Ventspils osta” pārvaldības kārtību un attiecīgi papildināt Ministru kabineta sēdes protokollēmuma projektu ar vēl vienu punktu ar uzdevumu Satiksmes ministrijai sagatavot likumprojektu "Grozījumi Ostu likumā", lai noteiktu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sagatavot likumprojektu "Grozījumi Ostu likumā", lai noteiktu speciālu regulējumu attiecībā uz AS “Rīgas osta” un AS “Ventspils osta” organizatoriskā struktūru un minēto kapitālsabiedrību pārvaldību (tostarp valsts akciju turētāju pārstāvju dalību akcionāru sapulcēs, sagatavošanas akcionāru sapulcei, valsts akciju turētāju pārstāvju sēdes (saskaņošanas sanāksmes) organizēšanu, vienotā balsošanas uzdevuma sagatavošanu utml.) atbilstoši labas korporatīvās pārvaldības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22-TA-2306</w:t>
    </w:r>
    <w:r>
      <w:br/>
    </w:r>
    <w:r w:rsidR="00000000" w:rsidRPr="00000000" w:rsidDel="00000000">
      <w:rPr>
        <w:rtl w:val="0"/>
      </w:rPr>
      <w:t xml:space="preserve">Izdrukāts 22.06.2023.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22-TA-2306</w:t>
    </w:r>
    <w:r>
      <w:br/>
    </w:r>
    <w:r w:rsidR="00000000" w:rsidRPr="00000000" w:rsidDel="00000000">
      <w:rPr>
        <w:rtl w:val="0"/>
      </w:rPr>
      <w:t xml:space="preserve">Izdrukāts 22.06.2023.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Atzinumi_22-TA-2306.docx</dc:title>
</cp:coreProperties>
</file>

<file path=docProps/custom.xml><?xml version="1.0" encoding="utf-8"?>
<Properties xmlns="http://schemas.openxmlformats.org/officeDocument/2006/custom-properties" xmlns:vt="http://schemas.openxmlformats.org/officeDocument/2006/docPropsVTypes"/>
</file>