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94 "Nozvejoto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Ja valsts, uz kuru eksportē zvejas produktus, pieprasa zvejas produktu apstrādes deklarāciju atbilstoši regulas Nr. </w:t>
            </w:r>
            <w:r w:rsidR="00000000" w:rsidRPr="00000000" w:rsidDel="00000000">
              <w:rPr>
                <w:rtl w:val="0"/>
              </w:rPr>
              <w:t xml:space="preserve">1005/2008</w:t>
            </w:r>
            <w:r w:rsidR="00000000" w:rsidRPr="00000000" w:rsidDel="00000000">
              <w:rPr>
                <w:rtl w:val="0"/>
              </w:rPr>
              <w:t xml:space="preserve"> 14. panta 2. punktam un IV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20. februāra noteikumos Nr. 94 "Nozvejoto zivju izkraušanas kontroles un zivju tirdzniecības un transporta objektu, noliktavu un ražošanas telpu pārbaudes noteikumi"”  8. punktā tiek lietots termins “atmuitots”.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vērš uzmanību, ka šāds termins nav noteikts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 panta 8. punktā noteikts, ka muitošana ir pasākumi, kurus normatīvajos aktos noteiktajā kārtībā veic persona un muitas iestāde, piemērojot precēm muitas procedūru, reeksportu vai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(turpmāk – Regula Nr. 952/2013) 5. panta 16. punktā noteikts, ka "muitas procedūra" ir jebkura no šādām procedūrām, ko saskaņā ar Kodeksu var piemērot precēm: a) laišana brīvā apgrozībā; b) īpašas procedūras; c) eksports.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210. pantā noteikts, ka precēm var piemērot jebkuru no šādām īpašu procedūru kategorijām: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tranzīts, kas ietver ārējo un iekšējo tranzītu; b) uzglabāšana, kas ietver uzglabāšanu muitas noliktavā un uzglabāšanu brīvajās zonās; c) īpaša izmantošana, kas ietver pagaidu ievešanu un galapatēriņu; d) pārstrāde, kas ietver ievešanu pārstrādei un izvešanu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termina “atmuitots” vietā lietot attiecīgus terminus atbilstoši iecerētajai normas jēgai.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Pļičko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05.03.2024.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05.03.2024.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Atzinumi_23-TA-2037.docx</dc:title>
</cp:coreProperties>
</file>

<file path=docProps/custom.xml><?xml version="1.0" encoding="utf-8"?>
<Properties xmlns="http://schemas.openxmlformats.org/officeDocument/2006/custom-properties" xmlns:vt="http://schemas.openxmlformats.org/officeDocument/2006/docPropsVTypes"/>
</file>