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2.4. reformu un investīciju virziena "Digitālās infrastruktūras transformācija'' 2.4.1.2.i. investīcijas ''Platjoslas jeb ļoti augstas veiktspējas tīklu ''pēdējās jūdzes''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ļoti augstas veiktspējas tīkls – tas ir elektronisko sakaru tīkls, kas pilnībā vai daļēji sastāv no optiskās šķiedras elementiem vismaz līdz sadales punktam apkalpojamā vietā, vai arī elektronisko sakaru tīkls, kas spēj maksimālās noslodzes laikā nodrošināt līdzīgu darbspēju kā parastās noslodzes laikā, t.i. līdzīga elektronisko sakaru tīkla darbspēja un attiecīgi pakalpojumu kvalitātes parametri pieejamā lejuplīnijas un augšuplīnijas frekvenču joslas platumā. Datu pārraides ātrums vismaz 100 Mbit/s;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sakaņā ar Ministru kabineta 2009. gada 3. februāra noteikumu Nr. 108 "Normatīvo aktu projektu sagatavošanas noteikumi" 121. punktu svītrot noteikumu projekta </w:t>
            </w:r>
            <w:r w:rsidR="00000000" w:rsidRPr="00000000" w:rsidDel="00000000">
              <w:rPr>
                <w:b w:val="1"/>
                <w:rtl w:val="0"/>
              </w:rPr>
              <w:t xml:space="preserve">2.4. apakšpunktu</w:t>
            </w:r>
            <w:r w:rsidR="00000000" w:rsidRPr="00000000" w:rsidDel="00000000">
              <w:rPr>
                <w:rtl w:val="0"/>
              </w:rPr>
              <w:t xml:space="preserve">. Vēršam uzmanību, ka noteikumu projektā terminus skaidro, lai konkretizētu terminā izteiktā jēdziena izpratnes robežas, </w:t>
            </w:r>
            <w:r w:rsidR="00000000" w:rsidRPr="00000000" w:rsidDel="00000000">
              <w:rPr>
                <w:u w:val="single"/>
                <w:rtl w:val="0"/>
              </w:rPr>
              <w:t xml:space="preserve">ja termins nav skaidrots vai lietots augstāka juridiskā spēka normatīvajā aktā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termins "ļoti augstas veiktspējas tīkls" ir skaidrots Elektronisko sakaru likuma 1. panta pirmās daļas 33. 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svītrot arī noteikumu projekta</w:t>
            </w:r>
            <w:r w:rsidR="00000000" w:rsidRPr="00000000" w:rsidDel="00000000">
              <w:rPr>
                <w:b w:val="1"/>
                <w:rtl w:val="0"/>
              </w:rPr>
              <w:t xml:space="preserve"> 2.6. apakšpunktu</w:t>
            </w:r>
            <w:r w:rsidR="00000000" w:rsidRPr="00000000" w:rsidDel="00000000">
              <w:rPr>
                <w:rtl w:val="0"/>
              </w:rPr>
              <w:t xml:space="preserve">, ņemot vērā, ka termins "piekļuve" skaidrots Elektronisko sakaru likuma 1. panta pirmās daļas 44.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w:t>
            </w:r>
            <w:r w:rsidR="00000000" w:rsidRPr="00000000" w:rsidDel="00000000">
              <w:rPr>
                <w:rtl w:val="0"/>
              </w:rPr>
              <w:t xml:space="preserve">5.1. </w:t>
            </w:r>
            <w:r w:rsidR="00000000" w:rsidRPr="00000000" w:rsidDel="00000000">
              <w:rPr>
                <w:rtl w:val="0"/>
              </w:rPr>
              <w:t xml:space="preserve">apakšpunktā</w:t>
            </w:r>
            <w:r w:rsidR="00000000" w:rsidRPr="00000000" w:rsidDel="00000000">
              <w:rPr>
                <w:rtl w:val="0"/>
              </w:rPr>
              <w:t xml:space="preserve"> noteiktā atskaites punkta sasniegšanu pamatos dokuments, kurā aprakstīts, kā tika atbilstīgi izpildīts atskaites punkts (tostarp visi būtiskie elementi), iekļaujot šādus dokumentārus pierādījumus: Ministru kabineta lēmuma par vienoto ''pēdējās jūdzes'' attīstības modeli kopiju un saiti uz šo lēmumu, to pētījumu kopijas, kas ņemti par pamatu Elektronisko sakaru nozares attīstības plānam 2021.-2027.gadam, ziņojumu par Elektronisko sakaru nozares attīstības plāna 2021.-2027. gadam sabiedriskās apspriešanas rezultātiem un saiti uz šīs sabiedriskās apspriešanas dokumentiem.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6. punkta nepieciešamību, ņemot vērā, ka tajā šobrīd aprakstīts 2.4.1.2.i. investīcijas atskaites dokumenta vēlamais saturs. Vēršam uzmanību, ka šāda rakstura informāciju lietderīgāk norādīt noteikumu projekta anotācijā. Ja tomēr noteikumu projektā nepieciešams iekļaut tiesisku regulējumu par atskaites dokumenta saturu, lūdzam noteikumu projekta 6. punktu precizēt, noformējot to kā tiesību normu, piemēram, nosakot atbildīgās ministrijas pienākumu noteiktā termiņā pēc investīcijas īstenošanas sagatavot un iesniegt attiecīgā institūcijā atskaites dokumentus.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noteikumu projekta 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2.4.1.2.i. investīcijai ir sasaiste 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 punktu un attiecīgo informāciju norādīt noteikumu projekta anotācijā. Vēršam uzmanību, ka šobrīd 8.punktā sniegts skaidrojums par 2.4.1.2.i. investīcijas sinerģiju, nevis iekļauts tiesiskais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2.4.1.2.i. investīcijas atbalstāmās darbības ir tehnoloģiski neitrālu pieslēgumu, kas atbalsta ilgtspējīgu nākamās paaudzes fiksēto, bezvadu vai pavadoņu sakaru savienojamību, ierīkošana elektronisko sakaru pakalpojumu pieejamības nodrošināšanai galalietotājiem (''pēdējā jūdze''), proti: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12.punktu atbilstoši Ministru kabineta 2009. gada 3. februāra noteikumu Nr. 108 "Normatīvo aktu projektu sagatavošanas noteikumi" 2.punkta prasībām, lai no tiesību normas būtu skaidri un nepārprotami saprotams atbalstāmo darbību saturs. Tai skaitā lūdzam izvairīties no liekvārdības ("proti"), pārprotamiem jēdzieniem ("pēdējā jūdze"), kā arī nodrošināt, ka punkta apakšpunkti atbilst šā punkta ievaddaļai.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Atbilstoši  šo noteikumu </w:t>
            </w:r>
            <w:r w:rsidR="00000000" w:rsidRPr="00000000" w:rsidDel="00000000">
              <w:rPr>
                <w:rtl w:val="0"/>
              </w:rPr>
              <w:t xml:space="preserve">​</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minētajam 2.4.1.2.i. investīcijas izmaksas ir ne vairāk kā 2661 EUR uz vienu papildu mājsaimniecību vai uzņēmumu, skolu, slimnīcu un citu sabiedrisko ēku (adrešu) skaitu, kam nodrošināta piekļuve ļoti augstas veiktspējas tīklam.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notiekumu projekta 13.punktu, jo šobrīd tajā noteiktais izmaksu ierobežojums nav viennozīmīgi saprotams. Tostarp, nav skaidra atsauce "atbilstoši šo noteikumu 12.punktā minētajam", t.i., nav skaidra 12. un 13. punta savstarpējā sakarība, kā arī nav skaidrs, kāpēc 13.punktā lietots vārds "papildu" (papildus kam?).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saņēmējam projekta ietvaros ir iespēja ieplānot neatkarīga revidenta/iekšējā auditora iesaisti, lai apliecinātu atskaites punkta un/vai mērķa sasniegšanu un izmaksu pamatotību. Neatkarīga revidenta/iekšējā audita izmaksas, izņemot, ja šo funkciju veic iekšējā audita struktūrvienība, ir attiecināmas finansēšanai no Atveseļošanas fonda finansējuma, ja tas neietekmē šo noteikumu </w:t>
            </w:r>
            <w:r w:rsidR="00000000" w:rsidRPr="00000000" w:rsidDel="00000000">
              <w:rPr>
                <w:rtl w:val="0"/>
              </w:rPr>
              <w:t xml:space="preserve">5.2.</w:t>
            </w:r>
            <w:r w:rsidR="00000000" w:rsidRPr="00000000" w:rsidDel="00000000">
              <w:rPr>
                <w:rtl w:val="0"/>
              </w:rPr>
              <w:t xml:space="preserve"> un </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minēto mērķu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2.2. - 2.4.apakšpunkta prasībām iersoinām redakcionāli precizēt noteikumu projekta 14. punktu, t.sk. nelietot škērssvītru "/" un izvēlēties attiecīgi kumulatīvu saikli "un" vai alternatīvu saikli "vai", piemēram: "</w:t>
            </w:r>
            <w:r w:rsidR="00000000" w:rsidRPr="00000000" w:rsidDel="00000000">
              <w:rPr>
                <w:i w:val="1"/>
                <w:rtl w:val="0"/>
              </w:rPr>
              <w:t xml:space="preserve">14. Lai apliecinātu atskaites punkta </w:t>
            </w:r>
            <w:r w:rsidR="00000000" w:rsidRPr="00000000" w:rsidDel="00000000">
              <w:rPr>
                <w:b w:val="1"/>
                <w:i w:val="1"/>
                <w:rtl w:val="0"/>
              </w:rPr>
              <w:t xml:space="preserve">vai</w:t>
            </w:r>
            <w:r w:rsidR="00000000" w:rsidRPr="00000000" w:rsidDel="00000000">
              <w:rPr>
                <w:i w:val="1"/>
                <w:rtl w:val="0"/>
              </w:rPr>
              <w:t xml:space="preserve"> investīcijas mērķa sasniegšanu un izmaksu pamatotību, finansējuma saņēmējs </w:t>
            </w:r>
            <w:r w:rsidR="00000000" w:rsidRPr="00000000" w:rsidDel="00000000">
              <w:rPr>
                <w:b w:val="1"/>
                <w:i w:val="1"/>
                <w:rtl w:val="0"/>
              </w:rPr>
              <w:t xml:space="preserve">var </w:t>
            </w:r>
            <w:r w:rsidR="00000000" w:rsidRPr="00000000" w:rsidDel="00000000">
              <w:rPr>
                <w:i w:val="1"/>
                <w:rtl w:val="0"/>
              </w:rPr>
              <w:t xml:space="preserve">piesaistīt neatkarīgu revidentu </w:t>
            </w:r>
            <w:r w:rsidR="00000000" w:rsidRPr="00000000" w:rsidDel="00000000">
              <w:rPr>
                <w:b w:val="1"/>
                <w:i w:val="1"/>
                <w:rtl w:val="0"/>
              </w:rPr>
              <w:t xml:space="preserve">vai i</w:t>
            </w:r>
            <w:r w:rsidR="00000000" w:rsidRPr="00000000" w:rsidDel="00000000">
              <w:rPr>
                <w:i w:val="1"/>
                <w:rtl w:val="0"/>
              </w:rPr>
              <w:t xml:space="preserve">ekšējo auditoru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Finansējuma saņēmējam projekta ietvaros ir iespēja iekļaut ar projekta darbībām tieši saistīto publicitātes un vizuālās identitātes pasākumu izmaksas, kas veiktas atbilstoši </w:t>
            </w:r>
            <w:r w:rsidR="00000000" w:rsidRPr="00000000" w:rsidDel="00000000">
              <w:rPr>
                <w:rtl w:val="0"/>
              </w:rPr>
              <w:t xml:space="preserve">Eiropas Parlamenta un Padomes 2021. gada 12. februāra regulas Nr. 2021/241, ar ko izveido Atveseļošanas un noturības mehānismu</w:t>
            </w:r>
            <w:r w:rsidR="00000000" w:rsidRPr="00000000" w:rsidDel="00000000">
              <w:rPr>
                <w:rtl w:val="0"/>
              </w:rPr>
              <w:t xml:space="preserve">, </w:t>
            </w:r>
            <w:r w:rsidR="00000000" w:rsidRPr="00000000" w:rsidDel="00000000">
              <w:rPr>
                <w:rtl w:val="0"/>
              </w:rPr>
              <w:t xml:space="preserve"> 34. panta 2. punkta prasībām, finansēšanai no Atveseļošanas fonda, ja tas neietekmē šo noteikumu </w:t>
            </w:r>
            <w:r w:rsidR="00000000" w:rsidRPr="00000000" w:rsidDel="00000000">
              <w:rPr>
                <w:rtl w:val="0"/>
              </w:rPr>
              <w:t xml:space="preserve">5.2.</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minēto mērķu sasniegšanu.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nozīmē "projekta ietvaros ir </w:t>
            </w:r>
            <w:r w:rsidR="00000000" w:rsidRPr="00000000" w:rsidDel="00000000">
              <w:rPr>
                <w:u w:val="single"/>
                <w:rtl w:val="0"/>
              </w:rPr>
              <w:t xml:space="preserve">iespēja iekļaut</w:t>
            </w:r>
            <w:r w:rsidR="00000000" w:rsidRPr="00000000" w:rsidDel="00000000">
              <w:rPr>
                <w:rtl w:val="0"/>
              </w:rPr>
              <w:t xml:space="preserve">", proti, vai attiecīgās izmaksas pie attiecīgo nosacījumu izpildīšanās tiks uzskatītas par attiecināmām. Lūdzam redakcionāli precizēt 19.punktu, lai izmaksu attiecināmizas nosacījumi būtu skaidri.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nepieciešamo darbību veikšanu, lai nodrošinātu normatīvajos tiesību aktos noteikto pienākumu attiecībā uz finansējuma saņēmēju veikt attiecīgas korektīvās darbības, ievērojot </w:t>
            </w:r>
            <w:r w:rsidR="00000000" w:rsidRPr="00000000" w:rsidDel="00000000">
              <w:rPr>
                <w:rtl w:val="0"/>
              </w:rPr>
              <w:t xml:space="preserve">Ministru kabineta 2021. gada 7. septembra noteikumu Nr. 621 "Eiropas Savienības Atveseļošanas un noturības mehānisma plāna īstenošanas un uzraudzības kārtība"</w:t>
            </w:r>
            <w:r w:rsidR="00000000" w:rsidRPr="00000000" w:rsidDel="00000000">
              <w:rPr>
                <w:rtl w:val="0"/>
              </w:rPr>
              <w:t xml:space="preserve"> 9. punktā noteikto uzdevumu izpildi, tajā skaitā attiecībā uz 2.4.1.2.i. investīcijas mērķa sasniegšanu, ja konstatē, ka netiek ievērotas normatīvajos tiesību aktos un līgumā par projekta īstenošanu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lūdzam precizēt 23.3.apakšpunktu atbilstoši Ministru kabineta 2009. gada 3. februāra noteikumu Nr. 108 "Normatīvo aktu projektu sagatavošanas noteikumi" 2. punkta un 137.punkta prasībām, tai skaitā lūdzam precizēt jēdzienu "normatīvie tiesību akti", aizstājot to ar vārdiem "normatīvie akti", kā arī norādot piemērojamo normatīvo aktu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noteikumu projekta 23.4.apakšpunktu, kā arī uz citām noteikumu projekta vienībām, kur norādīti nekonkretizēti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reizi gadā atbilstoši normatīvajiem aktiem iesniedz informāciju ziņojumam, kas paredzēts </w:t>
            </w:r>
            <w:r w:rsidR="00000000" w:rsidRPr="00000000" w:rsidDel="00000000">
              <w:rPr>
                <w:rtl w:val="0"/>
              </w:rPr>
              <w:t xml:space="preserve">Padomes 2015. gada 13. jūlija Regulas (Eiropas Savienība) 2015/1589, ar ko nosaka sīki izstrādātus noteikumus Līguma par Eiropas Savienības darbību</w:t>
            </w:r>
            <w:r w:rsidR="00000000" w:rsidRPr="00000000" w:rsidDel="00000000">
              <w:rPr>
                <w:rtl w:val="0"/>
              </w:rPr>
              <w:t xml:space="preserve"> 26. pantā 108. panta piemērošanai.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regulu, norādot korektu tās nosaukumu un vienību, piemēram, "</w:t>
            </w:r>
            <w:r w:rsidR="00000000" w:rsidRPr="00000000" w:rsidDel="00000000">
              <w:rPr>
                <w:i w:val="1"/>
                <w:rtl w:val="0"/>
              </w:rPr>
              <w:t xml:space="preserve">Padomes 2015. gada 13. jūlija regulas (ES) 2015/1589, ar ko nosaka sīki izstrādātus noteikumus Līguma par Eiropas Savienības darbību 108. panta piemērošanai</w:t>
            </w:r>
            <w:r w:rsidR="00000000" w:rsidRPr="00000000" w:rsidDel="00000000">
              <w:rPr>
                <w:rtl w:val="0"/>
              </w:rPr>
              <w:t xml:space="preserve">, 26.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svītrot vārdus "atbilstoši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saskaņā ar noteikumu projekta 49.punktu atbalsta sniedzējam ir pienākums sākot ar projektā izveidotās infrastruktūras izmantošanas sākuma dienu visā tās izmantošanas termiņā reizi divos gados sniegt Eiropas Komisijai informāciju par projektu. Lūdzam izvērtēt, vai 23.6.apakšpunktā un 49.punktā noteiktais informācijas iesniegšanas pienākums daļēji nedublējas.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25.15. saskaņā ar principa "Nenodarīt būtisku kaitējumu" novērtējumu 2.4.1.2.i. investīcijai nav konstatēta negatīva ietekme uz vidi. Finansējuma saņēmējs un projekta īstenotājs nodrošina, ka visi principa "Nenodarīt būtisku kaitējumu" nosacījumi, kas ietverti projekta iesniegumā, tiek ievēroti.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25.15.apakšpunktu, svītrojot tā pirmo teikumu, jo tas nesatur tiesību normu vai finansējuma saņēmēja pienākumus. Tāpat norādām, ka šā apakšpunkta otrajā teikumā ir minēts "projekta īstenotājs", un noteikumu projekta kontekstā nav skaidrs, kas ir šī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Komercdarbības atbalsta nosacījumi un piemērojamais regulējums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"un piemērojamais regulējums", jo tie ir lieki un nav saprotama to nepieciešamība.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Atbalsta instruments ir grants un maksimālā atbalsta summa individuālam projektam un pieļaujamais atbalsta apmērs ir 4 000 000 euro darbībām, kas minētas šo noteikumu </w:t>
            </w:r>
            <w:r w:rsidR="00000000" w:rsidRPr="00000000" w:rsidDel="00000000">
              <w:rPr>
                <w:rtl w:val="0"/>
              </w:rPr>
              <w:t xml:space="preserve">​</w:t>
            </w:r>
            <w:r w:rsidR="00000000" w:rsidRPr="00000000" w:rsidDel="00000000">
              <w:rPr>
                <w:rtl w:val="0"/>
              </w:rPr>
              <w:t xml:space="preserve">IV nodaļā</w:t>
            </w:r>
            <w:r w:rsidR="00000000" w:rsidRPr="00000000" w:rsidDel="00000000">
              <w:rPr>
                <w:rtl w:val="0"/>
              </w:rPr>
              <w:t xml:space="preserve">, un piemērojamā komercdarbības atbalsta intensitāte ir 100%.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30.punktu, svītrojot tiesisko regulējumu, kas dublē noteikumu projekta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Stimulējošās ietekmes nosacījumu nodrošināšanai atbalstu nedrīkst piešķirt jau uzsāktiem projektiem, kā arī nozares ministrija nodrošina, ka pirms projekta atlases procedūras uzsākšanas ir veikta sabiedriskā apspriešana ne vēlāk kā vienu gadu, kurā elektronisko sakaru komersantiem lūgts iesniegt pamatotu informāciju par to tīkliem, kuri atrodas vai kurus ticami plānots ierīkot mērķa teritorijā projekta īstenošanas laikā, publicējot informāciju Satiksmes ministrijas tīmekļa vietnē.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nosacījumu "ne vēlāk kā vienu gadu" un attiecīgi precizēt noteikumu projekta 33.punktu, jo šobrīd sabiedriskās apspriešanas nosacījumi un termiņš nav skaidri.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svītrot vārdus "Stimulējošās ietekmes nosacījumu nodrošināšanai", jo tie ir lieki. Šādu informāciju ierosinām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Subsidēto elektronisko sakaru tīklu uzraudzības komiteja vismaz 20 gadus pēc projekta īstenošanas rezultātā izveidotās infrastruktūras pieņemšanas ekspluatācijā nodrošina 2.4.1.2.i. investīcijas uzraudzību un: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papildus skaidrot Subsidēto elektronisko sakaru tīklu uzraudzības komitejas (turpmāk - komiteja) nepieciešamību, tai noteikumu projektā noteiktās kompetences samērīgumu, kā arī komitejas lēmumu pieņemšanas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39.punkts un turpmākās normas pēc būtības paredz pakalpojuma sniegšanas regulēšanu. Tai skaitā paredzēts, ka 20 gadus pēc projekta īstenošanas komiteja apstiprina un pārskata vairumtirdzniecības </w:t>
            </w:r>
            <w:r w:rsidR="00000000" w:rsidRPr="00000000" w:rsidDel="00000000">
              <w:rPr>
                <w:u w:val="single"/>
                <w:rtl w:val="0"/>
              </w:rPr>
              <w:t xml:space="preserve">piekļuves pakalpojumu tarifu</w:t>
            </w:r>
            <w:r w:rsidR="00000000" w:rsidRPr="00000000" w:rsidDel="00000000">
              <w:rPr>
                <w:rtl w:val="0"/>
              </w:rPr>
              <w:t xml:space="preserve"> projekta īstenošanas rezultātā izveidotajai infrastruktūrai un tā aprēķināšanas metodiku, kā arī apstiprina </w:t>
            </w:r>
            <w:r w:rsidR="00000000" w:rsidRPr="00000000" w:rsidDel="00000000">
              <w:rPr>
                <w:u w:val="single"/>
                <w:rtl w:val="0"/>
              </w:rPr>
              <w:t xml:space="preserve">vairumtirdzniecības piekļuves pakalpojumu nosacījumus</w:t>
            </w:r>
            <w:r w:rsidR="00000000" w:rsidRPr="00000000" w:rsidDel="00000000">
              <w:rPr>
                <w:rtl w:val="0"/>
              </w:rPr>
              <w:t xml:space="preserve"> 2.4.1.2.i. investīcijas īstenošanas rezultātā izveidotajai infrastruktūrai. Ir saprotams, ka investīcijas korektai īstenošanai nepieciešams uzraudzīt valsts atbalsta sniegšanas nosacījumu izpildi, kā arī novērst nepamatota tirgus kropļojuma un pārkompensācijas riskus. Tomēr nepieciešams izvērtēt, vai komersanta pakalpojumu tarifu un piekļuves pakalpojumu nosacījumu pakļaušana valsts kontrolei 20 gadu periodā ir samērīgs instruments, kā arī, vai šāds regulējums ir saskanīgs ar Elektronisko sakaru likuma un tajā pārņemto Eiropas Savienības tiesību aktu prasībām. Salīdzinājumam vēršam uzmanību, ka saskaņā ar minēto likumu, tarifu un piekļuves saistību regulēšana noteiktā apmērā var tikt veikta tikai attiecībā uz elektronisko sakaru komersantu ar būtisku ietekmi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arī uz to, ka no noteikumu projekta un tā anotācijas neizriet nekādas prasības vai kritēriji, saskaņā ar kuriem komiteja vērtēs un apstiprinās iepriekš minētos tarifus, metodiku un piekļuves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projekta anotāciju ar atbilstošu skaidrojumu un nepieciešamības gadījumā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ņemot vērā Likuma par budžetu un finanšu vadību 19.</w:t>
            </w:r>
            <w:r w:rsidR="00000000" w:rsidRPr="00000000" w:rsidDel="00000000">
              <w:rPr>
                <w:vertAlign w:val="superscript"/>
                <w:rtl w:val="0"/>
              </w:rPr>
              <w:t xml:space="preserve">3 </w:t>
            </w:r>
            <w:r w:rsidR="00000000" w:rsidRPr="00000000" w:rsidDel="00000000">
              <w:rPr>
                <w:rtl w:val="0"/>
              </w:rPr>
              <w:t xml:space="preserve">panta otrajā daļā ietverto pilnvarojumu Ministru kabineta noteikumu izdošanai un to, ka ar noteikumu projekta 39. - 46.punktu tiek izveidots elektronisko pakalpojumu sniegšanu regulējošs instruments, nepieciešams arī izvērtēt minēto noteikumu projekta normu atbilstību likumā ietvertajam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nodrošinātu </w:t>
            </w:r>
            <w:r w:rsidR="00000000" w:rsidRPr="00000000" w:rsidDel="00000000">
              <w:rPr>
                <w:rtl w:val="0"/>
              </w:rPr>
              <w:t xml:space="preserve">Ministru Kabineta 2021. gada 7.septembra noteikumu Nr.621 ''Eiropas Savienības Atveseļošanas un noturības mehānisma plāna īstenošanas un uzraudzības kārtība''</w:t>
            </w:r>
            <w:r w:rsidR="00000000" w:rsidRPr="00000000" w:rsidDel="00000000">
              <w:rPr>
                <w:rtl w:val="0"/>
              </w:rPr>
              <w:t xml:space="preserve"> 8. un 9. punktā minētās funkcijas, nozares ministrija un atbalsta sniedzējs slēdz starpresoru vienošanos par sadarbību ANM plāna īstenošanā un uzraudzībā.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nepieciešamības gadījumā precizēt, paredzot, ka vienošanos slēdz par 2.4.1.2.i. investīcijas, nevis visa ANM plāna īstenošanu un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slēdz līgumu ar finansējuma saņēmēju par projekta īstenošanu, tai skaitā rādītāju, mērķa sasniegšanu, un šo noteikumu </w:t>
            </w:r>
            <w:r w:rsidR="00000000" w:rsidRPr="00000000" w:rsidDel="00000000">
              <w:rPr>
                <w:rtl w:val="0"/>
              </w:rPr>
              <w:t xml:space="preserve">​</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finansējuma ieguldīšanas, izlietošanas un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ievērojot noteikumu projekta 2.5.apakšpunktā definēto terminu, piemēram:  "slēdz līgumu  par projekta īstenošanu, tajā paredzot noteikumus par 2.4.1.2.i. investīcijas mērķu un rādītāju sasniegšanu un šo noteikumu ​9. punktā minētā finansējuma ieguldīšanas, izlietošanas un uzraudzības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var izmantot tiesības uz līguma par projekta īstenošanu vienpusēja uzteikuma nosacījumiem, kad: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norādot, kas var izmantot noteikumu projekta 24.punktā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ierosinām 24.punkta ievadteikumu veidot lakoniskāku, piemēram, nosakot, ka attiecīgais subjekts "</w:t>
            </w:r>
            <w:r w:rsidR="00000000" w:rsidRPr="00000000" w:rsidDel="00000000">
              <w:rPr>
                <w:i w:val="1"/>
                <w:rtl w:val="0"/>
              </w:rPr>
              <w:t xml:space="preserve">var vienpusēji atkāpties no līguma par projekta īstenošanu, ja: (..)</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25.13. lai nodrošinātu, ka atbalsts saglabājas samērīgs un neizraisa neatbalstāmo darbību pārmērīgu kompensēšanu vai šķērssubsidēšanu, finansējuma saņēmējam ir pienākums: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ņemot vērā, ka 25.13.apakšpunkts neatbilsts 25.punkta ievaddaļai, kā arī kopumā 25.13.apakšpunkts precizējams atbilstoši Ministru kabineta 2009. gada 3. februāra noteikumu Nr. 108 "Normatīvo aktu projektu sagatavošanas noteikumi" 2. 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22-TA-2562</w:t>
    </w:r>
    <w:r>
      <w:br/>
    </w:r>
    <w:r w:rsidR="00000000" w:rsidRPr="00000000" w:rsidDel="00000000">
      <w:rPr>
        <w:rtl w:val="0"/>
      </w:rPr>
      <w:t xml:space="preserve">Izdrukāts 09.12.2022. 12.17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22-TA-2562</w:t>
    </w:r>
    <w:r>
      <w:br/>
    </w:r>
    <w:r w:rsidR="00000000" w:rsidRPr="00000000" w:rsidDel="00000000">
      <w:rPr>
        <w:rtl w:val="0"/>
      </w:rPr>
      <w:t xml:space="preserve">Izdrukāts 09.12.2022. 12.17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Atzinumi_22-TA-2562.docx</dc:title>
</cp:coreProperties>
</file>

<file path=docProps/custom.xml><?xml version="1.0" encoding="utf-8"?>
<Properties xmlns="http://schemas.openxmlformats.org/officeDocument/2006/custom-properties" xmlns:vt="http://schemas.openxmlformats.org/officeDocument/2006/docPropsVTypes"/>
</file>